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21182">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TAT-3207-2017</w:t>
      </w:r>
    </w:p>
    <w:p w:rsidR="00000000" w:rsidRDefault="00F21182">
      <w:pPr>
        <w:kinsoku w:val="0"/>
        <w:overflowPunct w:val="0"/>
        <w:autoSpaceDE/>
        <w:autoSpaceDN/>
        <w:adjustRightInd/>
        <w:spacing w:before="546"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y ocho minutos del dos de marzo de dos mil diecisiete. -</w:t>
      </w:r>
    </w:p>
    <w:p w:rsidR="00000000" w:rsidRDefault="00F21182">
      <w:pPr>
        <w:kinsoku w:val="0"/>
        <w:overflowPunct w:val="0"/>
        <w:autoSpaceDE/>
        <w:autoSpaceDN/>
        <w:adjustRightInd/>
        <w:spacing w:before="284" w:line="265"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O.B.Z.</w:t>
      </w:r>
      <w:r>
        <w:rPr>
          <w:rFonts w:ascii="Verdana" w:hAnsi="Verdana" w:cs="Verdana"/>
          <w:b/>
          <w:bCs/>
          <w:sz w:val="22"/>
          <w:szCs w:val="22"/>
          <w:lang w:val="es-ES" w:eastAsia="es-ES"/>
        </w:rPr>
        <w:t>, cédula de identidad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7.2 de la Sesión Or</w:t>
      </w:r>
      <w:r>
        <w:rPr>
          <w:rFonts w:ascii="Verdana" w:hAnsi="Verdana" w:cs="Verdana"/>
          <w:b/>
          <w:bCs/>
          <w:sz w:val="22"/>
          <w:szCs w:val="22"/>
          <w:lang w:val="es-ES" w:eastAsia="es-ES"/>
        </w:rPr>
        <w:t xml:space="preserve">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TAT-017-17.</w:t>
      </w:r>
    </w:p>
    <w:p w:rsidR="00000000" w:rsidRDefault="00F21182">
      <w:pPr>
        <w:kinsoku w:val="0"/>
        <w:overflowPunct w:val="0"/>
        <w:autoSpaceDE/>
        <w:autoSpaceDN/>
        <w:adjustRightInd/>
        <w:spacing w:before="535"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F21182" w:rsidP="00F21182">
      <w:pPr>
        <w:kinsoku w:val="0"/>
        <w:overflowPunct w:val="0"/>
        <w:autoSpaceDE/>
        <w:autoSpaceDN/>
        <w:adjustRightInd/>
        <w:spacing w:before="561" w:line="265"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La JUNTA DIRECTIVA DEL CONSEJO DE TRANSPORTE</w:t>
      </w:r>
      <w:r>
        <w:rPr>
          <w:rFonts w:ascii="Verdana" w:hAnsi="Verdana" w:cs="Verdana"/>
          <w:spacing w:val="-2"/>
          <w:sz w:val="22"/>
          <w:szCs w:val="22"/>
          <w:lang w:val="es-ES" w:eastAsia="es-ES"/>
        </w:rPr>
        <w:t xml:space="preserve"> PÚBLICO, mediante </w:t>
      </w:r>
      <w:r>
        <w:rPr>
          <w:rFonts w:ascii="Verdana" w:hAnsi="Verdana" w:cs="Verdana"/>
          <w:b/>
          <w:bCs/>
          <w:spacing w:val="-2"/>
          <w:sz w:val="22"/>
          <w:szCs w:val="22"/>
          <w:lang w:val="es-ES" w:eastAsia="es-ES"/>
        </w:rPr>
        <w:t xml:space="preserve">artículo 7.2 de la Sesión Ordinaria 40-2016 de 18 de agosto de 2016,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(sic) </w:t>
      </w:r>
      <w:r>
        <w:rPr>
          <w:rFonts w:ascii="Verdana" w:hAnsi="Verdana" w:cs="Verdana"/>
          <w:b/>
          <w:bCs/>
          <w:i/>
          <w:iCs/>
          <w:spacing w:val="-2"/>
          <w:sz w:val="22"/>
          <w:szCs w:val="22"/>
          <w:lang w:val="es-ES" w:eastAsia="es-ES"/>
        </w:rPr>
        <w:t xml:space="preserve">DAJ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 xml:space="preserve">DE 2016-2135, </w:t>
      </w:r>
      <w:r>
        <w:rPr>
          <w:rFonts w:ascii="Verdana" w:hAnsi="Verdana" w:cs="Verdana"/>
          <w:i/>
          <w:iCs/>
          <w:spacing w:val="-2"/>
          <w:sz w:val="22"/>
          <w:szCs w:val="22"/>
          <w:lang w:val="es-ES" w:eastAsia="es-ES"/>
        </w:rPr>
        <w:t>todas las rec</w:t>
      </w:r>
      <w:r>
        <w:rPr>
          <w:rFonts w:ascii="Verdana" w:hAnsi="Verdana" w:cs="Verdana"/>
          <w:i/>
          <w:iCs/>
          <w:spacing w:val="-2"/>
          <w:sz w:val="22"/>
          <w:szCs w:val="22"/>
          <w:lang w:val="es-ES" w:eastAsia="es-ES"/>
        </w:rPr>
        <w:t xml:space="preserve">omendaciones emitidas en el mismo, el cual forma parte integral de este acuerdo. 2. Cancelar de manera automática la concesión de taxi a las siguientes personas, por vencimiento del plazo y no haber </w:t>
      </w:r>
      <w:r>
        <w:rPr>
          <w:rFonts w:ascii="Verdana" w:hAnsi="Verdana" w:cs="Verdana"/>
          <w:i/>
          <w:iCs/>
          <w:spacing w:val="-2"/>
          <w:sz w:val="22"/>
          <w:szCs w:val="22"/>
          <w:lang w:val="es-ES" w:eastAsia="es-ES"/>
        </w:rPr>
        <w:t>gestionado la renovación antes de vencer la concesión:</w:t>
      </w:r>
      <w:r>
        <w:rPr>
          <w:rFonts w:ascii="Verdana" w:hAnsi="Verdana" w:cs="Verdana"/>
          <w:i/>
          <w:iCs/>
          <w:spacing w:val="-2"/>
          <w:sz w:val="22"/>
          <w:szCs w:val="22"/>
          <w:lang w:val="es-ES" w:eastAsia="es-ES"/>
        </w:rPr>
        <w:tab/>
        <w:t xml:space="preserve"> O.B.Z.</w:t>
      </w:r>
      <w:r>
        <w:rPr>
          <w:rFonts w:ascii="Verdana" w:hAnsi="Verdana" w:cs="Verdana"/>
          <w:i/>
          <w:iCs/>
          <w:spacing w:val="-2"/>
          <w:sz w:val="22"/>
          <w:szCs w:val="22"/>
          <w:lang w:val="es-ES" w:eastAsia="es-ES"/>
        </w:rPr>
        <w:t>.. 3. Tener por canceladas las concesiones de Taxi indicadas en el punto anterior, dado que las mismas no se encuentran con plazo vigente, y los concesionarios nunca acudieron a la formalización de la renovación promovida por la Admini</w:t>
      </w:r>
      <w:r>
        <w:rPr>
          <w:rFonts w:ascii="Verdana" w:hAnsi="Verdana" w:cs="Verdana"/>
          <w:i/>
          <w:iCs/>
          <w:spacing w:val="-2"/>
          <w:sz w:val="22"/>
          <w:szCs w:val="22"/>
          <w:lang w:val="es-ES" w:eastAsia="es-ES"/>
        </w:rPr>
        <w:t>stración Concedente, ni tampoco solicitaron la renovación antes del vencimiento de la concesión... 4. Instruir al Departamento de Administración de Concesiones y Permisos, realice los trámites necesarios y pertinentes, para desinscribir los códigos de serv</w:t>
      </w:r>
      <w:r>
        <w:rPr>
          <w:rFonts w:ascii="Verdana" w:hAnsi="Verdana" w:cs="Verdana"/>
          <w:i/>
          <w:iCs/>
          <w:spacing w:val="-2"/>
          <w:sz w:val="22"/>
          <w:szCs w:val="22"/>
          <w:lang w:val="es-ES" w:eastAsia="es-ES"/>
        </w:rPr>
        <w:t>icio público (placas de Taxi) de las unidades de taxi indicadas supra, ante el Registro Nacional, recuperar las placas metálicas, e informar a las autoridades competentes. Para tales efectos se le remiten los ciento sesenta y cinco expedientes de dichas pl</w:t>
      </w:r>
      <w:r>
        <w:rPr>
          <w:rFonts w:ascii="Verdana" w:hAnsi="Verdana" w:cs="Verdana"/>
          <w:i/>
          <w:iCs/>
          <w:spacing w:val="-2"/>
          <w:sz w:val="22"/>
          <w:szCs w:val="22"/>
          <w:lang w:val="es-ES" w:eastAsia="es-ES"/>
        </w:rPr>
        <w:t xml:space="preserve">acas que se encuentran en la Secretaria de Actas..." </w:t>
      </w:r>
      <w:r>
        <w:rPr>
          <w:rFonts w:ascii="Verdana" w:hAnsi="Verdana" w:cs="Verdana"/>
          <w:spacing w:val="-2"/>
          <w:sz w:val="22"/>
          <w:szCs w:val="22"/>
          <w:lang w:val="es-ES" w:eastAsia="es-ES"/>
        </w:rPr>
        <w:t>(Léanse folios del 16 al 23 del expediente administrativo)</w:t>
      </w:r>
    </w:p>
    <w:p w:rsidR="00000000" w:rsidRDefault="00F21182">
      <w:pPr>
        <w:kinsoku w:val="0"/>
        <w:overflowPunct w:val="0"/>
        <w:autoSpaceDE/>
        <w:autoSpaceDN/>
        <w:adjustRightInd/>
        <w:spacing w:before="277" w:after="636" w:line="265"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El recurrente presenta Recurso de Apelación e Incidente de Nulidad contra el acuerdo </w:t>
      </w:r>
      <w:r>
        <w:rPr>
          <w:rFonts w:ascii="Verdana" w:hAnsi="Verdana" w:cs="Verdana"/>
          <w:spacing w:val="-1"/>
          <w:sz w:val="22"/>
          <w:szCs w:val="22"/>
          <w:lang w:val="es-ES" w:eastAsia="es-ES"/>
        </w:rPr>
        <w:t xml:space="preserve">impugnado indicando en lo conducente, que tal como consta el acto fue comunicado al correo electrónico </w:t>
      </w:r>
      <w:r>
        <w:rPr>
          <w:rFonts w:ascii="Verdana" w:hAnsi="Verdana" w:cs="Verdana"/>
          <w:spacing w:val="-1"/>
          <w:sz w:val="22"/>
          <w:szCs w:val="22"/>
          <w:u w:val="single"/>
          <w:lang w:val="es-ES" w:eastAsia="es-ES"/>
        </w:rPr>
        <w:t>xxxxxxx@</w:t>
      </w:r>
      <w:r>
        <w:rPr>
          <w:rFonts w:ascii="Verdana" w:hAnsi="Verdana" w:cs="Verdana"/>
          <w:spacing w:val="-1"/>
          <w:sz w:val="22"/>
          <w:szCs w:val="22"/>
          <w:u w:val="single"/>
          <w:lang w:val="es-ES" w:eastAsia="es-ES"/>
        </w:rPr>
        <w:t>lafuente.cr,</w:t>
      </w:r>
      <w:r>
        <w:rPr>
          <w:rFonts w:ascii="Verdana" w:hAnsi="Verdana" w:cs="Verdana"/>
          <w:spacing w:val="-1"/>
          <w:sz w:val="22"/>
          <w:szCs w:val="22"/>
          <w:lang w:val="es-ES" w:eastAsia="es-ES"/>
        </w:rPr>
        <w:t xml:space="preserve"> pero al revisar su bandeja el mismo nunca le entró a su correo ni a "no deseados" ni</w:t>
      </w:r>
    </w:p>
    <w:p w:rsidR="00000000" w:rsidRDefault="00F21182">
      <w:pPr>
        <w:widowControl/>
        <w:rPr>
          <w:sz w:val="24"/>
          <w:szCs w:val="24"/>
        </w:rPr>
        <w:sectPr w:rsidR="00000000">
          <w:pgSz w:w="12274" w:h="15725"/>
          <w:pgMar w:top="1417" w:right="1477" w:bottom="242" w:left="1757" w:header="720" w:footer="720" w:gutter="0"/>
          <w:cols w:space="720"/>
          <w:noEndnote/>
        </w:sectPr>
      </w:pPr>
    </w:p>
    <w:p w:rsidR="00000000" w:rsidRDefault="00F21182">
      <w:pPr>
        <w:widowControl/>
        <w:rPr>
          <w:sz w:val="24"/>
          <w:szCs w:val="24"/>
        </w:rPr>
        <w:sectPr w:rsidR="00000000">
          <w:type w:val="continuous"/>
          <w:pgSz w:w="12274" w:h="15725"/>
          <w:pgMar w:top="1417" w:right="1649" w:bottom="242" w:left="7565" w:header="720" w:footer="720" w:gutter="0"/>
          <w:cols w:space="720"/>
          <w:noEndnote/>
        </w:sectPr>
      </w:pPr>
    </w:p>
    <w:p w:rsidR="00000000" w:rsidRDefault="00F21182">
      <w:pPr>
        <w:kinsoku w:val="0"/>
        <w:overflowPunct w:val="0"/>
        <w:autoSpaceDE/>
        <w:autoSpaceDN/>
        <w:adjustRightInd/>
        <w:spacing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 la principal por lo que nunca se dio cuenta de la citación, así mismo pasó todo el año preguntando por su cita y nunca le dieron respuesta. El acto es nulo pues nunca le comunicaron de manera efectiva. (Léanse folios del 9 al 11 del</w:t>
      </w:r>
      <w:r>
        <w:rPr>
          <w:rFonts w:ascii="Verdana" w:hAnsi="Verdana" w:cs="Verdana"/>
          <w:sz w:val="22"/>
          <w:szCs w:val="22"/>
          <w:lang w:val="es-ES" w:eastAsia="es-ES"/>
        </w:rPr>
        <w:t xml:space="preserve"> expediente administrativo)</w:t>
      </w:r>
    </w:p>
    <w:p w:rsidR="00000000" w:rsidRDefault="00F21182">
      <w:pPr>
        <w:kinsoku w:val="0"/>
        <w:overflowPunct w:val="0"/>
        <w:autoSpaceDE/>
        <w:autoSpaceDN/>
        <w:adjustRightInd/>
        <w:spacing w:before="261"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7.3.7 de la Sesión Ordinaria 65-2016 de 22 de diciembre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DAJ</w:t>
      </w:r>
      <w:r>
        <w:rPr>
          <w:rFonts w:ascii="Verdana" w:hAnsi="Verdana" w:cs="Verdana"/>
          <w:b/>
          <w:bCs/>
          <w:sz w:val="22"/>
          <w:szCs w:val="22"/>
          <w:lang w:val="es-ES" w:eastAsia="es-ES"/>
        </w:rPr>
        <w:t>-2016</w:t>
      </w:r>
      <w:r>
        <w:rPr>
          <w:rFonts w:ascii="Verdana" w:hAnsi="Verdana" w:cs="Verdana"/>
          <w:b/>
          <w:bCs/>
          <w:sz w:val="22"/>
          <w:szCs w:val="22"/>
          <w:lang w:val="es-ES" w:eastAsia="es-ES"/>
        </w:rPr>
        <w:softHyphen/>
        <w:t>004229 de 12</w:t>
      </w:r>
      <w:r>
        <w:rPr>
          <w:rFonts w:ascii="Verdana" w:hAnsi="Verdana" w:cs="Verdana"/>
          <w:b/>
          <w:bCs/>
          <w:sz w:val="22"/>
          <w:szCs w:val="22"/>
          <w:lang w:val="es-ES" w:eastAsia="es-ES"/>
        </w:rPr>
        <w:t xml:space="preserve"> de diciembre de 2016 y rechaza el recurso de Revocatoria y la Nulidad invocadas por improcedente. </w:t>
      </w:r>
      <w:r>
        <w:rPr>
          <w:rFonts w:ascii="Verdana" w:hAnsi="Verdana" w:cs="Verdana"/>
          <w:sz w:val="22"/>
          <w:szCs w:val="22"/>
          <w:lang w:val="es-ES" w:eastAsia="es-ES"/>
        </w:rPr>
        <w:t>(léanse folios del 1 al 7 del expediente administrativo)</w:t>
      </w:r>
    </w:p>
    <w:p w:rsidR="00000000" w:rsidRDefault="00F21182" w:rsidP="00F21182">
      <w:pPr>
        <w:kinsoku w:val="0"/>
        <w:overflowPunct w:val="0"/>
        <w:autoSpaceDE/>
        <w:autoSpaceDN/>
        <w:adjustRightInd/>
        <w:spacing w:before="277" w:line="267" w:lineRule="exact"/>
        <w:ind w:left="72"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CUARTO: </w:t>
      </w:r>
      <w:r>
        <w:rPr>
          <w:rFonts w:ascii="Verdana" w:hAnsi="Verdana" w:cs="Verdana"/>
          <w:spacing w:val="-2"/>
          <w:sz w:val="22"/>
          <w:szCs w:val="22"/>
          <w:lang w:val="es-ES" w:eastAsia="es-ES"/>
        </w:rPr>
        <w:t xml:space="preserve">En las piezas del expediente, consta que el recurrente en el "FORMULARIO PARA LA RENOVACIÓN </w:t>
      </w:r>
      <w:r>
        <w:rPr>
          <w:rFonts w:ascii="Verdana" w:hAnsi="Verdana" w:cs="Verdana"/>
          <w:spacing w:val="-2"/>
          <w:sz w:val="22"/>
          <w:szCs w:val="22"/>
          <w:lang w:val="es-ES" w:eastAsia="es-ES"/>
        </w:rPr>
        <w:t xml:space="preserve">DE CONCESIONES DE TAXIS" en una primera instancia indicó medio para notificaciones la cuenta de correo </w:t>
      </w:r>
      <w:hyperlink r:id="rId5" w:history="1">
        <w:r w:rsidRPr="00F21182">
          <w:rPr>
            <w:rStyle w:val="Hipervnculo"/>
            <w:rFonts w:ascii="Verdana" w:hAnsi="Verdana" w:cs="Verdana"/>
            <w:color w:val="auto"/>
            <w:spacing w:val="-2"/>
            <w:sz w:val="22"/>
            <w:szCs w:val="22"/>
            <w:lang w:val="es-ES" w:eastAsia="es-ES"/>
          </w:rPr>
          <w:t>xxxxxxxxxxxxxxxx@hotmail.com</w:t>
        </w:r>
      </w:hyperlink>
      <w:r w:rsidRPr="00F21182">
        <w:rPr>
          <w:rFonts w:ascii="Verdana" w:hAnsi="Verdana" w:cs="Verdana"/>
          <w:spacing w:val="-2"/>
          <w:sz w:val="22"/>
          <w:szCs w:val="22"/>
          <w:u w:val="single"/>
          <w:lang w:val="es-ES" w:eastAsia="es-ES"/>
        </w:rPr>
        <w:t>.;</w:t>
      </w:r>
      <w:r w:rsidRPr="00F21182">
        <w:rPr>
          <w:rFonts w:ascii="Verdana" w:hAnsi="Verdana" w:cs="Verdana"/>
          <w:spacing w:val="-2"/>
          <w:sz w:val="22"/>
          <w:szCs w:val="22"/>
          <w:lang w:val="es-ES" w:eastAsia="es-ES"/>
        </w:rPr>
        <w:t xml:space="preserve"> a este medio se le notificó una primera cita</w:t>
      </w:r>
      <w:r>
        <w:rPr>
          <w:rFonts w:ascii="Verdana" w:hAnsi="Verdana" w:cs="Verdana"/>
          <w:spacing w:val="-2"/>
          <w:sz w:val="22"/>
          <w:szCs w:val="22"/>
          <w:lang w:val="es-ES" w:eastAsia="es-ES"/>
        </w:rPr>
        <w:t xml:space="preserve"> para el 28 de noviembre de 2014 a las 10 de la mañana a la cual no asistió; el correo fue enviado el 25 de noviembre de ese añ</w:t>
      </w:r>
      <w:r>
        <w:rPr>
          <w:rFonts w:ascii="Verdana" w:hAnsi="Verdana" w:cs="Verdana"/>
          <w:spacing w:val="-2"/>
          <w:sz w:val="22"/>
          <w:szCs w:val="22"/>
          <w:lang w:val="es-ES" w:eastAsia="es-ES"/>
        </w:rPr>
        <w:t xml:space="preserve">o. Posteriormente el recurrente mediante escrito presentado ante el CTP el 19 de diciembre de 2014, solicita reprogramación de cita e indica como nuevo medio para notificaciones el correo electrónico </w:t>
      </w:r>
      <w:r w:rsidRPr="00F21182">
        <w:rPr>
          <w:rStyle w:val="Hipervnculo"/>
          <w:rFonts w:ascii="Verdana" w:hAnsi="Verdana" w:cs="Verdana"/>
          <w:color w:val="auto"/>
          <w:sz w:val="22"/>
          <w:szCs w:val="22"/>
        </w:rPr>
        <w:t>xxxxxxxxxx@</w:t>
      </w:r>
      <w:hyperlink r:id="rId6" w:history="1">
        <w:r w:rsidRPr="00F21182">
          <w:rPr>
            <w:rStyle w:val="Hipervnculo"/>
            <w:rFonts w:ascii="Verdana" w:hAnsi="Verdana" w:cs="Verdana"/>
            <w:color w:val="auto"/>
            <w:sz w:val="22"/>
            <w:szCs w:val="22"/>
          </w:rPr>
          <w:t>lafuente.cr</w:t>
        </w:r>
      </w:hyperlink>
      <w:r>
        <w:rPr>
          <w:rFonts w:ascii="Garamond" w:hAnsi="Garamond" w:cs="Garamond"/>
          <w:spacing w:val="-2"/>
          <w:sz w:val="28"/>
          <w:szCs w:val="28"/>
          <w:u w:val="single"/>
          <w:lang w:val="es-ES" w:eastAsia="es-ES"/>
        </w:rPr>
        <w:t>.,</w:t>
      </w:r>
      <w:r>
        <w:rPr>
          <w:rFonts w:ascii="Verdana" w:hAnsi="Verdana" w:cs="Verdana"/>
          <w:spacing w:val="-2"/>
          <w:sz w:val="22"/>
          <w:szCs w:val="22"/>
          <w:lang w:val="es-ES" w:eastAsia="es-ES"/>
        </w:rPr>
        <w:t xml:space="preserve"> a ese medio se le notifica el 16 de diciembre de 2015 cita para el 21 de diciembre de 2015 a </w:t>
      </w:r>
      <w:r>
        <w:rPr>
          <w:rFonts w:ascii="Verdana" w:hAnsi="Verdana" w:cs="Verdana"/>
          <w:sz w:val="22"/>
          <w:szCs w:val="22"/>
          <w:lang w:val="es-ES" w:eastAsia="es-ES"/>
        </w:rPr>
        <w:t>las 9:00 horas a la que no asistió.</w:t>
      </w:r>
      <w:r>
        <w:rPr>
          <w:rFonts w:ascii="Verdana" w:hAnsi="Verdana" w:cs="Verdana"/>
          <w:sz w:val="22"/>
          <w:szCs w:val="22"/>
          <w:lang w:val="es-ES" w:eastAsia="es-ES"/>
        </w:rPr>
        <w:tab/>
        <w:t>(Léanse folios 81, 86,88 y 89, 101 del</w:t>
      </w:r>
      <w:r>
        <w:rPr>
          <w:rFonts w:ascii="Verdana" w:hAnsi="Verdana" w:cs="Verdana"/>
          <w:sz w:val="22"/>
          <w:szCs w:val="22"/>
          <w:lang w:val="es-ES" w:eastAsia="es-ES"/>
        </w:rPr>
        <w:br/>
      </w:r>
      <w:r>
        <w:rPr>
          <w:rFonts w:ascii="Verdana" w:hAnsi="Verdana" w:cs="Verdana"/>
          <w:sz w:val="22"/>
          <w:szCs w:val="22"/>
          <w:lang w:val="es-ES" w:eastAsia="es-ES"/>
        </w:rPr>
        <w:t>expediente administrativo)</w:t>
      </w:r>
    </w:p>
    <w:p w:rsidR="00000000" w:rsidRDefault="00F21182">
      <w:pPr>
        <w:kinsoku w:val="0"/>
        <w:overflowPunct w:val="0"/>
        <w:autoSpaceDE/>
        <w:autoSpaceDN/>
        <w:adjustRightInd/>
        <w:spacing w:before="272"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F21182">
      <w:pPr>
        <w:kinsoku w:val="0"/>
        <w:overflowPunct w:val="0"/>
        <w:autoSpaceDE/>
        <w:autoSpaceDN/>
        <w:adjustRightInd/>
        <w:spacing w:before="535" w:line="26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Pérez Peláez; y,</w:t>
      </w:r>
    </w:p>
    <w:p w:rsidR="00000000" w:rsidRDefault="00F21182">
      <w:pPr>
        <w:kinsoku w:val="0"/>
        <w:overflowPunct w:val="0"/>
        <w:autoSpaceDE/>
        <w:autoSpaceDN/>
        <w:adjustRightInd/>
        <w:spacing w:before="518" w:line="261"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F21182">
      <w:pPr>
        <w:numPr>
          <w:ilvl w:val="0"/>
          <w:numId w:val="1"/>
        </w:numPr>
        <w:kinsoku w:val="0"/>
        <w:overflowPunct w:val="0"/>
        <w:autoSpaceDE/>
        <w:autoSpaceDN/>
        <w:adjustRightInd/>
        <w:spacing w:before="538"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w:t>
      </w:r>
      <w:r>
        <w:rPr>
          <w:rFonts w:ascii="Verdana" w:hAnsi="Verdana" w:cs="Verdana"/>
          <w:sz w:val="22"/>
          <w:szCs w:val="22"/>
          <w:lang w:val="es-ES" w:eastAsia="es-ES"/>
        </w:rPr>
        <w:t xml:space="preserve"> la Modalidad de Taxi, N. 7969 del 22 de diciembre de 1999.</w:t>
      </w:r>
    </w:p>
    <w:p w:rsidR="00000000" w:rsidRDefault="00F21182">
      <w:pPr>
        <w:numPr>
          <w:ilvl w:val="0"/>
          <w:numId w:val="1"/>
        </w:numPr>
        <w:kinsoku w:val="0"/>
        <w:overflowPunct w:val="0"/>
        <w:autoSpaceDE/>
        <w:autoSpaceDN/>
        <w:adjustRightInd/>
        <w:spacing w:before="296" w:after="849" w:line="267"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ADMISIBILIDAD DEL RECURSO: </w:t>
      </w:r>
      <w:r>
        <w:rPr>
          <w:rFonts w:ascii="Verdana" w:hAnsi="Verdana" w:cs="Verdana"/>
          <w:b/>
          <w:bCs/>
          <w:spacing w:val="-4"/>
          <w:sz w:val="22"/>
          <w:szCs w:val="22"/>
          <w:u w:val="single"/>
          <w:lang w:val="es-ES" w:eastAsia="es-ES"/>
        </w:rPr>
        <w:t>Legitimación:</w:t>
      </w:r>
      <w:r>
        <w:rPr>
          <w:rFonts w:ascii="Verdana" w:hAnsi="Verdana" w:cs="Verdana"/>
          <w:spacing w:val="-4"/>
          <w:sz w:val="22"/>
          <w:szCs w:val="22"/>
          <w:lang w:val="es-ES" w:eastAsia="es-ES"/>
        </w:rPr>
        <w:t xml:space="preserve"> A </w:t>
      </w:r>
      <w:r>
        <w:rPr>
          <w:rFonts w:ascii="Verdana" w:hAnsi="Verdana" w:cs="Verdana"/>
          <w:b/>
          <w:bCs/>
          <w:spacing w:val="-4"/>
          <w:sz w:val="22"/>
          <w:szCs w:val="22"/>
          <w:lang w:val="es-ES" w:eastAsia="es-ES"/>
        </w:rPr>
        <w:t>O.B.Z.</w:t>
      </w:r>
      <w:r>
        <w:rPr>
          <w:rFonts w:ascii="Verdana" w:hAnsi="Verdana" w:cs="Verdana"/>
          <w:b/>
          <w:bCs/>
          <w:spacing w:val="-4"/>
          <w:sz w:val="22"/>
          <w:szCs w:val="22"/>
          <w:lang w:val="es-ES" w:eastAsia="es-ES"/>
        </w:rPr>
        <w:t>, cédula de identidad número …</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le caducaron con el acuerdo impugnado, la concesión de taxi </w:t>
      </w:r>
      <w:r>
        <w:rPr>
          <w:rFonts w:ascii="Verdana" w:hAnsi="Verdana" w:cs="Verdana"/>
          <w:b/>
          <w:bCs/>
          <w:i/>
          <w:iCs/>
          <w:spacing w:val="-4"/>
          <w:sz w:val="22"/>
          <w:szCs w:val="22"/>
          <w:lang w:val="es-ES" w:eastAsia="es-ES"/>
        </w:rPr>
        <w:t>TSJ-XXXX</w:t>
      </w:r>
      <w:r>
        <w:rPr>
          <w:rFonts w:ascii="Verdana" w:hAnsi="Verdana" w:cs="Verdana"/>
          <w:b/>
          <w:bCs/>
          <w:i/>
          <w:iCs/>
          <w:spacing w:val="-4"/>
          <w:sz w:val="22"/>
          <w:szCs w:val="22"/>
          <w:lang w:val="es-ES" w:eastAsia="es-ES"/>
        </w:rPr>
        <w:t xml:space="preserve">, </w:t>
      </w:r>
      <w:r>
        <w:rPr>
          <w:rFonts w:ascii="Verdana" w:hAnsi="Verdana" w:cs="Verdana"/>
          <w:spacing w:val="-4"/>
          <w:sz w:val="22"/>
          <w:szCs w:val="22"/>
          <w:lang w:val="es-ES" w:eastAsia="es-ES"/>
        </w:rPr>
        <w:t>por lo que cue</w:t>
      </w:r>
      <w:r>
        <w:rPr>
          <w:rFonts w:ascii="Verdana" w:hAnsi="Verdana" w:cs="Verdana"/>
          <w:spacing w:val="-4"/>
          <w:sz w:val="22"/>
          <w:szCs w:val="22"/>
          <w:lang w:val="es-ES" w:eastAsia="es-ES"/>
        </w:rPr>
        <w:t xml:space="preserve">nta con la legitimación necesaria para actuar en el presente asunto. </w:t>
      </w:r>
      <w:r>
        <w:rPr>
          <w:rFonts w:ascii="Verdana" w:hAnsi="Verdana" w:cs="Verdana"/>
          <w:b/>
          <w:bCs/>
          <w:spacing w:val="-4"/>
          <w:sz w:val="22"/>
          <w:szCs w:val="22"/>
          <w:u w:val="single"/>
          <w:lang w:val="es-ES" w:eastAsia="es-ES"/>
        </w:rPr>
        <w:t xml:space="preserve">En cuanto al plazo:  </w:t>
      </w:r>
      <w:r>
        <w:rPr>
          <w:rFonts w:ascii="Verdana" w:hAnsi="Verdana" w:cs="Verdana"/>
          <w:spacing w:val="-4"/>
          <w:sz w:val="22"/>
          <w:szCs w:val="22"/>
          <w:lang w:val="es-ES" w:eastAsia="es-ES"/>
        </w:rPr>
        <w:t>El Recurso de Apelación fue presentado dentro del plazo legal de cinco días establecido en el artículo 11 de la Ley N. 7969, ya que el acuerdo fue notificado</w:t>
      </w:r>
    </w:p>
    <w:p w:rsidR="00000000" w:rsidRDefault="00F21182">
      <w:pPr>
        <w:widowControl/>
        <w:rPr>
          <w:sz w:val="24"/>
          <w:szCs w:val="24"/>
        </w:rPr>
        <w:sectPr w:rsidR="00000000">
          <w:pgSz w:w="12274" w:h="15725"/>
          <w:pgMar w:top="1300" w:right="1583" w:bottom="289" w:left="1651" w:header="720" w:footer="720" w:gutter="0"/>
          <w:cols w:space="720"/>
          <w:noEndnote/>
        </w:sectPr>
      </w:pPr>
    </w:p>
    <w:p w:rsidR="00000000" w:rsidRDefault="00F21182">
      <w:pPr>
        <w:widowControl/>
        <w:rPr>
          <w:sz w:val="24"/>
          <w:szCs w:val="24"/>
        </w:rPr>
        <w:sectPr w:rsidR="00000000">
          <w:type w:val="continuous"/>
          <w:pgSz w:w="12274" w:h="15725"/>
          <w:pgMar w:top="1300" w:right="1633" w:bottom="289" w:left="7541" w:header="720" w:footer="720" w:gutter="0"/>
          <w:cols w:space="720"/>
          <w:noEndnote/>
        </w:sectPr>
      </w:pPr>
    </w:p>
    <w:p w:rsidR="00000000" w:rsidRDefault="00F21182">
      <w:pPr>
        <w:kinsoku w:val="0"/>
        <w:overflowPunct w:val="0"/>
        <w:autoSpaceDE/>
        <w:autoSpaceDN/>
        <w:adjustRightInd/>
        <w:spacing w:before="26" w:line="25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día 22 de agosto de 2016 ver folio 24 del expediente y el recurso fue presentado el 29 del mismo mes y año.</w:t>
      </w:r>
    </w:p>
    <w:p w:rsidR="00000000" w:rsidRDefault="00F21182">
      <w:pPr>
        <w:kinsoku w:val="0"/>
        <w:overflowPunct w:val="0"/>
        <w:autoSpaceDE/>
        <w:autoSpaceDN/>
        <w:adjustRightInd/>
        <w:spacing w:before="264" w:line="26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3.- HECHOS PROBADOS DE IMPORTANCIA PARA ESTE ASUNTO:</w:t>
      </w:r>
    </w:p>
    <w:p w:rsidR="00000000" w:rsidRDefault="00F21182">
      <w:pPr>
        <w:numPr>
          <w:ilvl w:val="0"/>
          <w:numId w:val="2"/>
        </w:numPr>
        <w:kinsoku w:val="0"/>
        <w:overflowPunct w:val="0"/>
        <w:autoSpaceDE/>
        <w:autoSpaceDN/>
        <w:adjustRightInd/>
        <w:spacing w:before="281"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w:t>
      </w:r>
      <w:r>
        <w:rPr>
          <w:sz w:val="21"/>
          <w:szCs w:val="21"/>
          <w:lang w:val="es-ES" w:eastAsia="es-ES"/>
        </w:rPr>
        <w:t xml:space="preserve">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 xml:space="preserve">acuerda cancelar la concesión </w:t>
      </w:r>
      <w:r>
        <w:rPr>
          <w:rFonts w:ascii="Verdana" w:hAnsi="Verdana" w:cs="Verdana"/>
          <w:b/>
          <w:bCs/>
          <w:sz w:val="22"/>
          <w:szCs w:val="22"/>
          <w:lang w:val="es-ES" w:eastAsia="es-ES"/>
        </w:rPr>
        <w:t>TSJ-XXXX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vencimiento del plazo y no gestionar la renovación de la misma. (Léanse folios del </w:t>
      </w:r>
      <w:r>
        <w:rPr>
          <w:rFonts w:ascii="Verdana" w:hAnsi="Verdana" w:cs="Verdana"/>
          <w:sz w:val="22"/>
          <w:szCs w:val="22"/>
          <w:lang w:val="es-ES" w:eastAsia="es-ES"/>
        </w:rPr>
        <w:t>16 al 23 del expediente administrativo)</w:t>
      </w:r>
    </w:p>
    <w:p w:rsidR="00000000" w:rsidRDefault="00F21182">
      <w:pPr>
        <w:numPr>
          <w:ilvl w:val="0"/>
          <w:numId w:val="2"/>
        </w:numPr>
        <w:kinsoku w:val="0"/>
        <w:overflowPunct w:val="0"/>
        <w:autoSpaceDE/>
        <w:autoSpaceDN/>
        <w:adjustRightInd/>
        <w:spacing w:before="291" w:line="266"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El recurrente presenta Recurso de Apelación contra el acuerdo impugnado por considerar que adolece de vicios sustanciales, por cuanto nunca se le notificó acto alguno. (Léanse folios del 9 al 11 del expediente admi</w:t>
      </w:r>
      <w:r>
        <w:rPr>
          <w:rFonts w:ascii="Verdana" w:hAnsi="Verdana" w:cs="Verdana"/>
          <w:spacing w:val="-2"/>
          <w:sz w:val="22"/>
          <w:szCs w:val="22"/>
          <w:lang w:val="es-ES" w:eastAsia="es-ES"/>
        </w:rPr>
        <w:t>nistrativo)</w:t>
      </w:r>
    </w:p>
    <w:p w:rsidR="00000000" w:rsidRDefault="00F21182">
      <w:pPr>
        <w:kinsoku w:val="0"/>
        <w:overflowPunct w:val="0"/>
        <w:autoSpaceDE/>
        <w:autoSpaceDN/>
        <w:adjustRightInd/>
        <w:spacing w:before="258" w:line="265"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C).-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7.3.7 de la Sesión Ordinaria 65-2016 de 22 de diciembre de 2016,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DAJ-2016-004229 de 12 de diciembre de 20</w:t>
      </w:r>
      <w:r>
        <w:rPr>
          <w:rFonts w:ascii="Verdana" w:hAnsi="Verdana" w:cs="Verdana"/>
          <w:b/>
          <w:bCs/>
          <w:spacing w:val="-2"/>
          <w:sz w:val="22"/>
          <w:szCs w:val="22"/>
          <w:lang w:val="es-ES" w:eastAsia="es-ES"/>
        </w:rPr>
        <w:t xml:space="preserve">16 y rechaza el recurso de Revocatoria y la Nulidad invocadas por improcedente. </w:t>
      </w:r>
      <w:r>
        <w:rPr>
          <w:rFonts w:ascii="Verdana" w:hAnsi="Verdana" w:cs="Verdana"/>
          <w:spacing w:val="-2"/>
          <w:sz w:val="22"/>
          <w:szCs w:val="22"/>
          <w:lang w:val="es-ES" w:eastAsia="es-ES"/>
        </w:rPr>
        <w:t>(léanse folios del 1 al 7 del expediente administrativo)</w:t>
      </w:r>
    </w:p>
    <w:p w:rsidR="00000000" w:rsidRDefault="00F21182" w:rsidP="00F21182">
      <w:pPr>
        <w:kinsoku w:val="0"/>
        <w:overflowPunct w:val="0"/>
        <w:autoSpaceDE/>
        <w:autoSpaceDN/>
        <w:adjustRightInd/>
        <w:spacing w:before="295" w:line="265" w:lineRule="exact"/>
        <w:ind w:left="72"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D). - </w:t>
      </w:r>
      <w:r>
        <w:rPr>
          <w:rFonts w:ascii="Verdana" w:hAnsi="Verdana" w:cs="Verdana"/>
          <w:spacing w:val="-2"/>
          <w:sz w:val="22"/>
          <w:szCs w:val="22"/>
          <w:lang w:val="es-ES" w:eastAsia="es-ES"/>
        </w:rPr>
        <w:t>Ha quedado fehacientemente demostrado que el recurrente en el "FORMULARIO PARA LA RENOVACIÓN DE CONCESIONES DE TA</w:t>
      </w:r>
      <w:r>
        <w:rPr>
          <w:rFonts w:ascii="Verdana" w:hAnsi="Verdana" w:cs="Verdana"/>
          <w:spacing w:val="-2"/>
          <w:sz w:val="22"/>
          <w:szCs w:val="22"/>
          <w:lang w:val="es-ES" w:eastAsia="es-ES"/>
        </w:rPr>
        <w:t xml:space="preserve">XIS" en una primera instancia indicó medio para notificaciones la cuenta de correo </w:t>
      </w:r>
      <w:hyperlink r:id="rId7" w:history="1">
        <w:r w:rsidRPr="00F21182">
          <w:rPr>
            <w:rStyle w:val="Hipervnculo"/>
            <w:color w:val="auto"/>
            <w:spacing w:val="-2"/>
            <w:sz w:val="25"/>
            <w:szCs w:val="25"/>
            <w:lang w:val="es-ES" w:eastAsia="es-ES"/>
          </w:rPr>
          <w:t>xxxxxxxxxxxx@hotmail.com</w:t>
        </w:r>
      </w:hyperlink>
      <w:r w:rsidRPr="00F21182">
        <w:rPr>
          <w:spacing w:val="-2"/>
          <w:sz w:val="25"/>
          <w:szCs w:val="25"/>
          <w:u w:val="single"/>
          <w:lang w:val="es-ES" w:eastAsia="es-ES"/>
        </w:rPr>
        <w:t>.;</w:t>
      </w:r>
      <w:r w:rsidRPr="00F21182">
        <w:rPr>
          <w:rFonts w:ascii="Verdana" w:hAnsi="Verdana" w:cs="Verdana"/>
          <w:spacing w:val="-2"/>
          <w:sz w:val="22"/>
          <w:szCs w:val="22"/>
          <w:lang w:val="es-ES" w:eastAsia="es-ES"/>
        </w:rPr>
        <w:t xml:space="preserve"> a este medio se le notificó una primera cita para el</w:t>
      </w:r>
      <w:r>
        <w:rPr>
          <w:rFonts w:ascii="Verdana" w:hAnsi="Verdana" w:cs="Verdana"/>
          <w:spacing w:val="-2"/>
          <w:sz w:val="22"/>
          <w:szCs w:val="22"/>
          <w:lang w:val="es-ES" w:eastAsia="es-ES"/>
        </w:rPr>
        <w:t xml:space="preserve"> 28 de noviembre de 2014 a las 10 de la mañana a la cual no asistió; el correo fue enviado el 25 de noviembre de ese año. Se demuestra así mismo, que posterior</w:t>
      </w:r>
      <w:r>
        <w:rPr>
          <w:rFonts w:ascii="Verdana" w:hAnsi="Verdana" w:cs="Verdana"/>
          <w:spacing w:val="-2"/>
          <w:sz w:val="22"/>
          <w:szCs w:val="22"/>
          <w:lang w:val="es-ES" w:eastAsia="es-ES"/>
        </w:rPr>
        <w:t xml:space="preserve">mente el recurrente mediante escrito presentado ante el CTP el 19 de diciembre de 2014, solicita reprogramación de cita e indica como </w:t>
      </w:r>
      <w:r>
        <w:rPr>
          <w:rFonts w:ascii="Verdana" w:hAnsi="Verdana" w:cs="Verdana"/>
          <w:sz w:val="22"/>
          <w:szCs w:val="22"/>
          <w:lang w:val="es-ES" w:eastAsia="es-ES"/>
        </w:rPr>
        <w:t>nuevo</w:t>
      </w:r>
      <w:r>
        <w:rPr>
          <w:rFonts w:ascii="Verdana" w:hAnsi="Verdana" w:cs="Verdana"/>
          <w:sz w:val="22"/>
          <w:szCs w:val="22"/>
          <w:lang w:val="es-ES" w:eastAsia="es-ES"/>
        </w:rPr>
        <w:tab/>
        <w:t xml:space="preserve">medio </w:t>
      </w:r>
      <w:r w:rsidRPr="00F21182">
        <w:rPr>
          <w:rFonts w:ascii="Verdana" w:hAnsi="Verdana" w:cs="Verdana"/>
          <w:sz w:val="22"/>
          <w:szCs w:val="22"/>
          <w:lang w:val="es-ES" w:eastAsia="es-ES"/>
        </w:rPr>
        <w:t>para</w:t>
      </w:r>
      <w:r w:rsidRPr="00F21182">
        <w:rPr>
          <w:rFonts w:ascii="Verdana" w:hAnsi="Verdana" w:cs="Verdana"/>
          <w:sz w:val="22"/>
          <w:szCs w:val="22"/>
          <w:lang w:val="es-ES" w:eastAsia="es-ES"/>
        </w:rPr>
        <w:tab/>
        <w:t xml:space="preserve">notificaciones </w:t>
      </w:r>
      <w:r w:rsidRPr="00F21182">
        <w:rPr>
          <w:rFonts w:ascii="Verdana" w:hAnsi="Verdana" w:cs="Verdana"/>
          <w:sz w:val="22"/>
          <w:szCs w:val="22"/>
          <w:lang w:val="es-ES" w:eastAsia="es-ES"/>
        </w:rPr>
        <w:t xml:space="preserve">el correo </w:t>
      </w:r>
      <w:r w:rsidRPr="00F21182">
        <w:rPr>
          <w:rFonts w:ascii="Verdana" w:hAnsi="Verdana" w:cs="Verdana"/>
          <w:sz w:val="22"/>
          <w:szCs w:val="22"/>
          <w:lang w:val="es-ES" w:eastAsia="es-ES"/>
        </w:rPr>
        <w:t xml:space="preserve">electrónico </w:t>
      </w:r>
      <w:hyperlink r:id="rId8" w:history="1">
        <w:r w:rsidRPr="00F21182">
          <w:rPr>
            <w:rStyle w:val="Hipervnculo"/>
            <w:color w:val="auto"/>
            <w:sz w:val="25"/>
            <w:szCs w:val="25"/>
            <w:lang w:val="es-ES" w:eastAsia="es-ES"/>
          </w:rPr>
          <w:t>xxxxxxxx@lafuente.cr</w:t>
        </w:r>
      </w:hyperlink>
      <w:r w:rsidRPr="00F21182">
        <w:rPr>
          <w:sz w:val="25"/>
          <w:szCs w:val="25"/>
          <w:u w:val="single"/>
          <w:lang w:val="es-ES" w:eastAsia="es-ES"/>
        </w:rPr>
        <w:t>.</w:t>
      </w:r>
      <w:r w:rsidRPr="00F21182">
        <w:rPr>
          <w:rFonts w:ascii="Verdana" w:hAnsi="Verdana" w:cs="Verdana"/>
          <w:sz w:val="22"/>
          <w:szCs w:val="22"/>
          <w:lang w:val="es-ES" w:eastAsia="es-ES"/>
        </w:rPr>
        <w:t xml:space="preserve"> a ese medio se</w:t>
      </w:r>
      <w:r>
        <w:rPr>
          <w:rFonts w:ascii="Verdana" w:hAnsi="Verdana" w:cs="Verdana"/>
          <w:sz w:val="22"/>
          <w:szCs w:val="22"/>
          <w:lang w:val="es-ES" w:eastAsia="es-ES"/>
        </w:rPr>
        <w:t xml:space="preserve"> le notifica el 16 de diciembre de 2015 cita para el 21 de diciembre de 2015 a las 9:00 horas a la que no asistió. (Léanse folios 81, 8</w:t>
      </w:r>
      <w:r>
        <w:rPr>
          <w:rFonts w:ascii="Verdana" w:hAnsi="Verdana" w:cs="Verdana"/>
          <w:sz w:val="22"/>
          <w:szCs w:val="22"/>
          <w:lang w:val="es-ES" w:eastAsia="es-ES"/>
        </w:rPr>
        <w:t>6,88 y 89, 101 del expediente administrativo)</w:t>
      </w:r>
    </w:p>
    <w:p w:rsidR="00000000" w:rsidRDefault="00F21182">
      <w:pPr>
        <w:kinsoku w:val="0"/>
        <w:overflowPunct w:val="0"/>
        <w:autoSpaceDE/>
        <w:autoSpaceDN/>
        <w:adjustRightInd/>
        <w:spacing w:before="224" w:line="26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4.- HECHOS NO PROBADOS</w:t>
      </w:r>
    </w:p>
    <w:p w:rsidR="00000000" w:rsidRDefault="00F21182">
      <w:pPr>
        <w:kinsoku w:val="0"/>
        <w:overflowPunct w:val="0"/>
        <w:autoSpaceDE/>
        <w:autoSpaceDN/>
        <w:adjustRightInd/>
        <w:spacing w:line="585" w:lineRule="exact"/>
        <w:ind w:left="72" w:right="1944"/>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F21182">
      <w:pPr>
        <w:kinsoku w:val="0"/>
        <w:overflowPunct w:val="0"/>
        <w:autoSpaceDE/>
        <w:autoSpaceDN/>
        <w:adjustRightInd/>
        <w:spacing w:before="301" w:after="1089" w:line="266"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artículo 7.2 de la Sesió</w:t>
      </w:r>
      <w:r>
        <w:rPr>
          <w:rFonts w:ascii="Verdana" w:hAnsi="Verdana" w:cs="Verdana"/>
          <w:b/>
          <w:bCs/>
          <w:sz w:val="22"/>
          <w:szCs w:val="22"/>
          <w:lang w:val="es-ES" w:eastAsia="es-ES"/>
        </w:rPr>
        <w:t xml:space="preserve">n Ordinaria 40-2016 de 18 de agosto de 2016, </w:t>
      </w:r>
      <w:r>
        <w:rPr>
          <w:rFonts w:ascii="Verdana" w:hAnsi="Verdana" w:cs="Verdana"/>
          <w:sz w:val="22"/>
          <w:szCs w:val="22"/>
          <w:lang w:val="es-ES" w:eastAsia="es-ES"/>
        </w:rPr>
        <w:t xml:space="preserve">del Consejo de Transporte Público y. de ser así, el consecuente restablecimiento de la concesión de taxi otorgada al señor </w:t>
      </w:r>
      <w:r w:rsidRPr="00F21182">
        <w:rPr>
          <w:rFonts w:ascii="Verdana" w:hAnsi="Verdana" w:cs="Verdana"/>
          <w:b/>
          <w:bCs/>
          <w:sz w:val="22"/>
          <w:szCs w:val="22"/>
          <w:lang w:val="es-ES" w:eastAsia="es-ES"/>
        </w:rPr>
        <w:t>O.B.Z.</w:t>
      </w:r>
      <w:r w:rsidRPr="00F21182">
        <w:rPr>
          <w:rFonts w:ascii="Verdana" w:hAnsi="Verdana" w:cs="Verdana"/>
          <w:b/>
          <w:bCs/>
          <w:sz w:val="22"/>
          <w:szCs w:val="22"/>
          <w:lang w:val="es-ES" w:eastAsia="es-ES"/>
        </w:rPr>
        <w:t>,</w:t>
      </w:r>
      <w:r>
        <w:rPr>
          <w:b/>
          <w:bCs/>
          <w:sz w:val="21"/>
          <w:szCs w:val="21"/>
          <w:lang w:val="es-ES" w:eastAsia="es-ES"/>
        </w:rPr>
        <w:t xml:space="preserve"> </w:t>
      </w:r>
      <w:r>
        <w:rPr>
          <w:rFonts w:ascii="Verdana" w:hAnsi="Verdana" w:cs="Verdana"/>
          <w:b/>
          <w:bCs/>
          <w:sz w:val="22"/>
          <w:szCs w:val="22"/>
          <w:lang w:val="es-ES" w:eastAsia="es-ES"/>
        </w:rPr>
        <w:t>cédula de identidad número ..</w:t>
      </w:r>
      <w:r>
        <w:rPr>
          <w:rFonts w:ascii="Verdana" w:hAnsi="Verdana" w:cs="Verdana"/>
          <w:b/>
          <w:bCs/>
          <w:sz w:val="22"/>
          <w:szCs w:val="22"/>
          <w:lang w:val="es-ES" w:eastAsia="es-ES"/>
        </w:rPr>
        <w:t>.</w:t>
      </w:r>
    </w:p>
    <w:p w:rsidR="00000000" w:rsidRDefault="00F21182">
      <w:pPr>
        <w:widowControl/>
        <w:rPr>
          <w:sz w:val="24"/>
          <w:szCs w:val="24"/>
        </w:rPr>
        <w:sectPr w:rsidR="00000000">
          <w:pgSz w:w="12302" w:h="15725"/>
          <w:pgMar w:top="1417" w:right="1544" w:bottom="242" w:left="1718" w:header="720" w:footer="720" w:gutter="0"/>
          <w:cols w:space="720"/>
          <w:noEndnote/>
        </w:sectPr>
      </w:pPr>
    </w:p>
    <w:p w:rsidR="00000000" w:rsidRDefault="00F21182">
      <w:pPr>
        <w:kinsoku w:val="0"/>
        <w:overflowPunct w:val="0"/>
        <w:autoSpaceDE/>
        <w:autoSpaceDN/>
        <w:adjustRightInd/>
        <w:spacing w:before="8"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PÚBLICO</w:t>
      </w:r>
    </w:p>
    <w:p w:rsidR="00000000" w:rsidRDefault="00F21182" w:rsidP="00F21182">
      <w:pPr>
        <w:kinsoku w:val="0"/>
        <w:overflowPunct w:val="0"/>
        <w:autoSpaceDE/>
        <w:autoSpaceDN/>
        <w:adjustRightInd/>
        <w:spacing w:before="318" w:line="261" w:lineRule="exact"/>
        <w:ind w:left="72" w:right="72"/>
        <w:jc w:val="both"/>
        <w:textAlignment w:val="baseline"/>
        <w:rPr>
          <w:rFonts w:ascii="Verdana" w:hAnsi="Verdana" w:cs="Verdana"/>
          <w:i/>
          <w:iCs/>
          <w:sz w:val="22"/>
          <w:szCs w:val="22"/>
          <w:lang w:val="es-ES" w:eastAsia="es-ES"/>
        </w:rPr>
      </w:pPr>
      <w:r>
        <w:rPr>
          <w:rFonts w:ascii="Verdana" w:hAnsi="Verdana" w:cs="Verdana"/>
          <w:spacing w:val="-2"/>
          <w:sz w:val="22"/>
          <w:szCs w:val="22"/>
          <w:lang w:val="es-ES" w:eastAsia="es-ES"/>
        </w:rPr>
        <w:t xml:space="preserve">La </w:t>
      </w:r>
      <w:r>
        <w:rPr>
          <w:spacing w:val="-2"/>
          <w:sz w:val="21"/>
          <w:szCs w:val="21"/>
          <w:lang w:val="es-ES" w:eastAsia="es-ES"/>
        </w:rPr>
        <w:t xml:space="preserve">JUNTA DIRECTIVA DEL CONSEJO DE TRANSPORTE PÚBLICO,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artículo 7.2 de la Sesión Ordinaria 40-2016 de 18 de agosto de 2016, </w:t>
      </w:r>
      <w:r>
        <w:rPr>
          <w:rFonts w:ascii="Verdana" w:hAnsi="Verdana" w:cs="Verdana"/>
          <w:spacing w:val="-2"/>
          <w:sz w:val="22"/>
          <w:szCs w:val="22"/>
          <w:lang w:val="es-ES" w:eastAsia="es-ES"/>
        </w:rPr>
        <w:t>acuerda "1</w:t>
      </w:r>
      <w:r>
        <w:rPr>
          <w:rFonts w:ascii="Verdana" w:hAnsi="Verdana" w:cs="Verdana"/>
          <w:spacing w:val="-2"/>
          <w:sz w:val="22"/>
          <w:szCs w:val="22"/>
          <w:lang w:val="es-ES" w:eastAsia="es-ES"/>
        </w:rPr>
        <w:t xml:space="preserve">. </w:t>
      </w:r>
      <w:r>
        <w:rPr>
          <w:rFonts w:ascii="Verdana" w:hAnsi="Verdana" w:cs="Verdana"/>
          <w:i/>
          <w:iCs/>
          <w:spacing w:val="-2"/>
          <w:sz w:val="22"/>
          <w:szCs w:val="22"/>
          <w:lang w:val="es-ES" w:eastAsia="es-ES"/>
        </w:rPr>
        <w:t>Aprobar, basados en los fundam</w:t>
      </w:r>
      <w:r>
        <w:rPr>
          <w:rFonts w:ascii="Verdana" w:hAnsi="Verdana" w:cs="Verdana"/>
          <w:i/>
          <w:iCs/>
          <w:spacing w:val="-2"/>
          <w:sz w:val="22"/>
          <w:szCs w:val="22"/>
          <w:lang w:val="es-ES" w:eastAsia="es-ES"/>
        </w:rPr>
        <w:t xml:space="preserve">entos, motivos y contenidos, desarrollados en los considerandos del oficio (sic) </w:t>
      </w:r>
      <w:r>
        <w:rPr>
          <w:rFonts w:ascii="Verdana" w:hAnsi="Verdana" w:cs="Verdana"/>
          <w:b/>
          <w:bCs/>
          <w:i/>
          <w:iCs/>
          <w:spacing w:val="-2"/>
          <w:sz w:val="22"/>
          <w:szCs w:val="22"/>
          <w:lang w:val="es-ES" w:eastAsia="es-ES"/>
        </w:rPr>
        <w:t xml:space="preserve">DAJ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 xml:space="preserve">DE 2016-2135, </w:t>
      </w:r>
      <w:r>
        <w:rPr>
          <w:rFonts w:ascii="Verdana" w:hAnsi="Verdana" w:cs="Verdana"/>
          <w:i/>
          <w:iCs/>
          <w:spacing w:val="-2"/>
          <w:sz w:val="22"/>
          <w:szCs w:val="22"/>
          <w:lang w:val="es-ES" w:eastAsia="es-ES"/>
        </w:rPr>
        <w:t xml:space="preserve">todas las recomendaciones emitidas en el mismo, el cual forma parte integral de este acuerdo. 2. Cancelar de manera automática la concesión de </w:t>
      </w:r>
      <w:r>
        <w:rPr>
          <w:rFonts w:ascii="Verdana" w:hAnsi="Verdana" w:cs="Verdana"/>
          <w:i/>
          <w:iCs/>
          <w:spacing w:val="-2"/>
          <w:sz w:val="22"/>
          <w:szCs w:val="22"/>
          <w:lang w:val="es-ES" w:eastAsia="es-ES"/>
        </w:rPr>
        <w:t xml:space="preserve">taxi a las siguientes personas, por vencimiento del plazo y no haber gestionado la renovación antes </w:t>
      </w:r>
      <w:r>
        <w:rPr>
          <w:rFonts w:ascii="Verdana" w:hAnsi="Verdana" w:cs="Verdana"/>
          <w:i/>
          <w:iCs/>
          <w:sz w:val="22"/>
          <w:szCs w:val="22"/>
          <w:lang w:val="es-ES" w:eastAsia="es-ES"/>
        </w:rPr>
        <w:t>de vencer la concesión:</w:t>
      </w:r>
      <w:r>
        <w:rPr>
          <w:rFonts w:ascii="Verdana" w:hAnsi="Verdana" w:cs="Verdana"/>
          <w:i/>
          <w:iCs/>
          <w:sz w:val="22"/>
          <w:szCs w:val="22"/>
          <w:lang w:val="es-ES" w:eastAsia="es-ES"/>
        </w:rPr>
        <w:tab/>
        <w:t>…</w:t>
      </w:r>
      <w:r>
        <w:rPr>
          <w:rFonts w:ascii="Verdana" w:hAnsi="Verdana" w:cs="Verdana"/>
          <w:i/>
          <w:iCs/>
          <w:sz w:val="22"/>
          <w:szCs w:val="22"/>
          <w:lang w:val="es-ES" w:eastAsia="es-ES"/>
        </w:rPr>
        <w:t>O.B.Z.</w:t>
      </w:r>
      <w:r>
        <w:rPr>
          <w:rFonts w:ascii="Verdana" w:hAnsi="Verdana" w:cs="Verdana"/>
          <w:i/>
          <w:iCs/>
          <w:sz w:val="22"/>
          <w:szCs w:val="22"/>
          <w:lang w:val="es-ES" w:eastAsia="es-ES"/>
        </w:rPr>
        <w:t xml:space="preserve">... 3. Tener por canceladas </w:t>
      </w:r>
      <w:r>
        <w:rPr>
          <w:rFonts w:ascii="Verdana" w:hAnsi="Verdana" w:cs="Verdana"/>
          <w:i/>
          <w:iCs/>
          <w:sz w:val="22"/>
          <w:szCs w:val="22"/>
          <w:lang w:val="es-ES" w:eastAsia="es-ES"/>
        </w:rPr>
        <w:t>las concesio</w:t>
      </w:r>
      <w:r>
        <w:rPr>
          <w:rFonts w:ascii="Verdana" w:hAnsi="Verdana" w:cs="Verdana"/>
          <w:i/>
          <w:iCs/>
          <w:sz w:val="22"/>
          <w:szCs w:val="22"/>
          <w:lang w:val="es-ES" w:eastAsia="es-ES"/>
        </w:rPr>
        <w:t>nes de Taxi indicadas en el punto anterior, dado que las mismas no se encuentran con plazo vigente, y los concesionarios nunca acudieron a la formalización de la renovación promovida por la Administración Concedente, ni tampoco solicitaron la renovación an</w:t>
      </w:r>
      <w:r>
        <w:rPr>
          <w:rFonts w:ascii="Verdana" w:hAnsi="Verdana" w:cs="Verdana"/>
          <w:i/>
          <w:iCs/>
          <w:sz w:val="22"/>
          <w:szCs w:val="22"/>
          <w:lang w:val="es-ES" w:eastAsia="es-ES"/>
        </w:rPr>
        <w:t>tes del vencimiento de la concesión... 4. Instruir al Departamento de Administración de Concesiones y Permisos, realice los trámites necesarios y pertinentes, para desinscribir los códigos de servicio público (placas de Taxi) de las unidades de taxi indica</w:t>
      </w:r>
      <w:r>
        <w:rPr>
          <w:rFonts w:ascii="Verdana" w:hAnsi="Verdana" w:cs="Verdana"/>
          <w:i/>
          <w:iCs/>
          <w:sz w:val="22"/>
          <w:szCs w:val="22"/>
          <w:lang w:val="es-ES" w:eastAsia="es-ES"/>
        </w:rPr>
        <w:t>das supra, ante el Registro Nacional, recuperar las placas metálicas, e informar a las autoridades competentes. Para tales efectos se le remiten los ciento sesenta y cinco expedientes de dichas placas que se encuentran en la Secretaria de Actas..."</w:t>
      </w:r>
    </w:p>
    <w:p w:rsidR="00000000" w:rsidRDefault="00F21182">
      <w:pPr>
        <w:kinsoku w:val="0"/>
        <w:overflowPunct w:val="0"/>
        <w:autoSpaceDE/>
        <w:autoSpaceDN/>
        <w:adjustRightInd/>
        <w:spacing w:before="272"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7.3.7 de la Sesión Ordinaria 65-2016 de 22 de diciembre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DAJ-2016-004229 de 12 de diciembre de 2016 y rechaza el r</w:t>
      </w:r>
      <w:r>
        <w:rPr>
          <w:rFonts w:ascii="Verdana" w:hAnsi="Verdana" w:cs="Verdana"/>
          <w:b/>
          <w:bCs/>
          <w:sz w:val="22"/>
          <w:szCs w:val="22"/>
          <w:lang w:val="es-ES" w:eastAsia="es-ES"/>
        </w:rPr>
        <w:t xml:space="preserve">ecurso de Revocatoria y la Nulidad invocadas por improcedente. </w:t>
      </w:r>
      <w:r>
        <w:rPr>
          <w:rFonts w:ascii="Verdana" w:hAnsi="Verdana" w:cs="Verdana"/>
          <w:sz w:val="22"/>
          <w:szCs w:val="22"/>
          <w:lang w:val="es-ES" w:eastAsia="es-ES"/>
        </w:rPr>
        <w:t>(léanse folios del 1 al 7 del expediente administrativo)</w:t>
      </w:r>
    </w:p>
    <w:p w:rsidR="00000000" w:rsidRDefault="00F21182">
      <w:pPr>
        <w:kinsoku w:val="0"/>
        <w:overflowPunct w:val="0"/>
        <w:autoSpaceDE/>
        <w:autoSpaceDN/>
        <w:adjustRightInd/>
        <w:spacing w:before="263"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000000" w:rsidRDefault="00F21182">
      <w:pPr>
        <w:kinsoku w:val="0"/>
        <w:overflowPunct w:val="0"/>
        <w:autoSpaceDE/>
        <w:autoSpaceDN/>
        <w:adjustRightInd/>
        <w:spacing w:before="264"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recurrente presenta Recurso de Apelación contra el acuerdo impugnado indicando en lo conducente, que </w:t>
      </w:r>
      <w:r>
        <w:rPr>
          <w:rFonts w:ascii="Verdana" w:hAnsi="Verdana" w:cs="Verdana"/>
          <w:sz w:val="22"/>
          <w:szCs w:val="22"/>
          <w:lang w:val="es-ES" w:eastAsia="es-ES"/>
        </w:rPr>
        <w:t xml:space="preserve">tal como consta el acto fue comunicado al correo electrónico </w:t>
      </w:r>
      <w:hyperlink r:id="rId9" w:history="1">
        <w:r w:rsidRPr="00F21182">
          <w:rPr>
            <w:rStyle w:val="Hipervnculo"/>
            <w:color w:val="auto"/>
            <w:sz w:val="25"/>
            <w:szCs w:val="25"/>
            <w:lang w:val="es-ES" w:eastAsia="es-ES"/>
          </w:rPr>
          <w:t>xxxxxxxxx@lafuente.cr</w:t>
        </w:r>
      </w:hyperlink>
      <w:r>
        <w:rPr>
          <w:sz w:val="25"/>
          <w:szCs w:val="25"/>
          <w:u w:val="single"/>
          <w:lang w:val="es-ES" w:eastAsia="es-ES"/>
        </w:rPr>
        <w:t>,</w:t>
      </w:r>
      <w:r>
        <w:rPr>
          <w:rFonts w:ascii="Verdana" w:hAnsi="Verdana" w:cs="Verdana"/>
          <w:sz w:val="22"/>
          <w:szCs w:val="22"/>
          <w:lang w:val="es-ES" w:eastAsia="es-ES"/>
        </w:rPr>
        <w:t xml:space="preserve"> pero al revisar su band</w:t>
      </w:r>
      <w:r>
        <w:rPr>
          <w:rFonts w:ascii="Verdana" w:hAnsi="Verdana" w:cs="Verdana"/>
          <w:sz w:val="22"/>
          <w:szCs w:val="22"/>
          <w:lang w:val="es-ES" w:eastAsia="es-ES"/>
        </w:rPr>
        <w:t xml:space="preserve">eja el mismo nunca le entró a su correo ni a "no deseados" ni a la principal por lo que nunca se dio cuenta de la citación, así mismo pasó todo el año preguntando por su cita y nunca le dieron respuesta. El acto es nulo pues nunca le comunicaron de manera </w:t>
      </w:r>
      <w:r>
        <w:rPr>
          <w:rFonts w:ascii="Verdana" w:hAnsi="Verdana" w:cs="Verdana"/>
          <w:sz w:val="22"/>
          <w:szCs w:val="22"/>
          <w:lang w:val="es-ES" w:eastAsia="es-ES"/>
        </w:rPr>
        <w:t>efectiva.</w:t>
      </w:r>
    </w:p>
    <w:p w:rsidR="00000000" w:rsidRDefault="00F21182">
      <w:pPr>
        <w:kinsoku w:val="0"/>
        <w:overflowPunct w:val="0"/>
        <w:autoSpaceDE/>
        <w:autoSpaceDN/>
        <w:adjustRightInd/>
        <w:spacing w:before="320" w:line="283" w:lineRule="exact"/>
        <w:ind w:left="72" w:right="72"/>
        <w:textAlignment w:val="baseline"/>
        <w:rPr>
          <w:b/>
          <w:bCs/>
          <w:spacing w:val="10"/>
          <w:sz w:val="25"/>
          <w:szCs w:val="25"/>
          <w:lang w:val="es-ES" w:eastAsia="es-ES"/>
        </w:rPr>
      </w:pPr>
      <w:r>
        <w:rPr>
          <w:b/>
          <w:bCs/>
          <w:spacing w:val="10"/>
          <w:sz w:val="25"/>
          <w:szCs w:val="25"/>
          <w:lang w:val="es-ES" w:eastAsia="es-ES"/>
        </w:rPr>
        <w:t>DEL PRINCIPIO DE LEGALIDAD</w:t>
      </w:r>
    </w:p>
    <w:p w:rsidR="00000000" w:rsidRDefault="00F21182">
      <w:pPr>
        <w:kinsoku w:val="0"/>
        <w:overflowPunct w:val="0"/>
        <w:autoSpaceDE/>
        <w:autoSpaceDN/>
        <w:adjustRightInd/>
        <w:spacing w:before="286" w:after="1084"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w:t>
      </w:r>
      <w:r>
        <w:rPr>
          <w:rFonts w:ascii="Verdana" w:hAnsi="Verdana" w:cs="Verdana"/>
          <w:sz w:val="22"/>
          <w:szCs w:val="22"/>
          <w:lang w:val="es-ES" w:eastAsia="es-ES"/>
        </w:rPr>
        <w:t xml:space="preserve"> Este principio constituye la base fundamental que define y delimita la actuación de los órganos de la Administración y por ende de los concesionarios y permisionarios del servicio público, que realizan un servicio público cedido por el Estado.</w:t>
      </w:r>
    </w:p>
    <w:p w:rsidR="00000000" w:rsidRDefault="00F21182">
      <w:pPr>
        <w:widowControl/>
        <w:rPr>
          <w:sz w:val="24"/>
          <w:szCs w:val="24"/>
        </w:rPr>
        <w:sectPr w:rsidR="00000000">
          <w:pgSz w:w="12302" w:h="15725"/>
          <w:pgMar w:top="1300" w:right="1606" w:bottom="329" w:left="1656" w:header="720" w:footer="720" w:gutter="0"/>
          <w:cols w:space="720"/>
          <w:noEndnote/>
        </w:sectPr>
      </w:pPr>
    </w:p>
    <w:p w:rsidR="00000000" w:rsidRDefault="00F21182">
      <w:pPr>
        <w:widowControl/>
        <w:rPr>
          <w:sz w:val="24"/>
          <w:szCs w:val="24"/>
        </w:rPr>
        <w:sectPr w:rsidR="00000000">
          <w:type w:val="continuous"/>
          <w:pgSz w:w="12302" w:h="15725"/>
          <w:pgMar w:top="1300" w:right="1668" w:bottom="329" w:left="7534" w:header="720" w:footer="720" w:gutter="0"/>
          <w:cols w:space="720"/>
          <w:noEndnote/>
        </w:sectPr>
      </w:pPr>
    </w:p>
    <w:p w:rsidR="00000000" w:rsidRDefault="00F21182">
      <w:pPr>
        <w:kinsoku w:val="0"/>
        <w:overflowPunct w:val="0"/>
        <w:autoSpaceDE/>
        <w:autoSpaceDN/>
        <w:adjustRightInd/>
        <w:spacing w:before="2"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La Sala Constitucional de la Corte Suprema de Justicia, en su sentencia No. 2001-02493, de las diecisé</w:t>
      </w:r>
      <w:r>
        <w:rPr>
          <w:rFonts w:ascii="Verdana" w:hAnsi="Verdana" w:cs="Verdana"/>
          <w:sz w:val="21"/>
          <w:szCs w:val="21"/>
          <w:lang w:val="es-ES" w:eastAsia="es-ES"/>
        </w:rPr>
        <w:t>is horas, con veinticinco minutos, del veintisiete de marzo del dos mil uno, respecto del Principio de Legalidad, manifestó:</w:t>
      </w:r>
    </w:p>
    <w:p w:rsidR="00000000" w:rsidRDefault="00F21182">
      <w:pPr>
        <w:kinsoku w:val="0"/>
        <w:overflowPunct w:val="0"/>
        <w:autoSpaceDE/>
        <w:autoSpaceDN/>
        <w:adjustRightInd/>
        <w:spacing w:before="260" w:line="251" w:lineRule="exact"/>
        <w:ind w:left="648" w:right="648"/>
        <w:jc w:val="both"/>
        <w:textAlignment w:val="baseline"/>
        <w:rPr>
          <w:rFonts w:ascii="Verdana" w:hAnsi="Verdana" w:cs="Verdana"/>
          <w:b/>
          <w:bCs/>
          <w:sz w:val="24"/>
          <w:szCs w:val="24"/>
          <w:lang w:val="es-ES" w:eastAsia="es-ES"/>
        </w:rPr>
      </w:pPr>
      <w:r>
        <w:rPr>
          <w:rFonts w:ascii="Verdana" w:hAnsi="Verdana" w:cs="Verdana"/>
          <w:sz w:val="21"/>
          <w:szCs w:val="21"/>
          <w:lang w:val="es-ES" w:eastAsia="es-ES"/>
        </w:rPr>
        <w:t>"II.- Sobre el principio de legalidad: El principio de legalidad que se consagra en el artículo 11 de nuestra Constitución Política</w:t>
      </w:r>
      <w:r>
        <w:rPr>
          <w:rFonts w:ascii="Verdana" w:hAnsi="Verdana" w:cs="Verdana"/>
          <w:sz w:val="21"/>
          <w:szCs w:val="21"/>
          <w:lang w:val="es-ES" w:eastAsia="es-ES"/>
        </w:rPr>
        <w:t xml:space="preserve">, significa que </w:t>
      </w:r>
      <w:r>
        <w:rPr>
          <w:rFonts w:ascii="Verdana" w:hAnsi="Verdana" w:cs="Verdana"/>
          <w:b/>
          <w:bCs/>
          <w:sz w:val="19"/>
          <w:szCs w:val="19"/>
          <w:u w:val="single"/>
          <w:lang w:val="es-ES" w:eastAsia="es-ES"/>
        </w:rPr>
        <w:t>los actos y comportamientos de la Administración deben de estar regulados por norma escrita,</w:t>
      </w:r>
      <w:r>
        <w:rPr>
          <w:rFonts w:ascii="Verdana" w:hAnsi="Verdana" w:cs="Verdana"/>
          <w:sz w:val="21"/>
          <w:szCs w:val="21"/>
          <w:lang w:val="es-ES" w:eastAsia="es-ES"/>
        </w:rPr>
        <w:t xml:space="preserve"> lo que significa desde luego, el sometimiento a la Constitución y a la ley, preferentemente, y en general a todas las normas del ordenamiento jurí</w:t>
      </w:r>
      <w:r>
        <w:rPr>
          <w:rFonts w:ascii="Verdana" w:hAnsi="Verdana" w:cs="Verdana"/>
          <w:sz w:val="21"/>
          <w:szCs w:val="21"/>
          <w:lang w:val="es-ES" w:eastAsia="es-ES"/>
        </w:rPr>
        <w:t xml:space="preserve">dico, o sea lo que se conoce como el principio de juridicidad de la Administración, </w:t>
      </w:r>
      <w:r>
        <w:rPr>
          <w:rFonts w:ascii="Verdana" w:hAnsi="Verdana" w:cs="Verdana"/>
          <w:b/>
          <w:bCs/>
          <w:sz w:val="19"/>
          <w:szCs w:val="19"/>
          <w:u w:val="single"/>
          <w:lang w:val="es-ES" w:eastAsia="es-ES"/>
        </w:rPr>
        <w:t>el cual significa que las instituciones públicas solamente pueden actuar en la medida en la que se encuentren apoderadas para hacerlo por el mismo ordenamiento y normalment</w:t>
      </w:r>
      <w:r>
        <w:rPr>
          <w:rFonts w:ascii="Verdana" w:hAnsi="Verdana" w:cs="Verdana"/>
          <w:b/>
          <w:bCs/>
          <w:sz w:val="19"/>
          <w:szCs w:val="19"/>
          <w:u w:val="single"/>
          <w:lang w:val="es-ES" w:eastAsia="es-ES"/>
        </w:rPr>
        <w:t xml:space="preserve">e a texto expreso, en consecuencia solo le es permitido lo que esté constitucionalmente y legalmente autorizado en forma  expresa y </w:t>
      </w:r>
      <w:r>
        <w:rPr>
          <w:rFonts w:ascii="Verdana" w:hAnsi="Verdana" w:cs="Verdana"/>
          <w:b/>
          <w:bCs/>
          <w:i/>
          <w:iCs/>
          <w:sz w:val="19"/>
          <w:szCs w:val="19"/>
          <w:u w:val="single"/>
          <w:lang w:val="es-ES" w:eastAsia="es-ES"/>
        </w:rPr>
        <w:t>todo lo que no les esté autorizado les está vedado. "</w:t>
      </w:r>
      <w:r>
        <w:rPr>
          <w:rFonts w:ascii="Verdana" w:hAnsi="Verdana" w:cs="Verdana"/>
          <w:b/>
          <w:bCs/>
          <w:sz w:val="24"/>
          <w:szCs w:val="24"/>
          <w:lang w:val="es-ES" w:eastAsia="es-ES"/>
        </w:rPr>
        <w:t xml:space="preserve"> (Lo resaltado no es del original)</w:t>
      </w:r>
    </w:p>
    <w:p w:rsidR="00000000" w:rsidRDefault="00F21182">
      <w:pPr>
        <w:kinsoku w:val="0"/>
        <w:overflowPunct w:val="0"/>
        <w:autoSpaceDE/>
        <w:autoSpaceDN/>
        <w:adjustRightInd/>
        <w:spacing w:before="282"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Legalidad constituye</w:t>
      </w:r>
      <w:r>
        <w:rPr>
          <w:rFonts w:ascii="Verdana" w:hAnsi="Verdana" w:cs="Verdana"/>
          <w:sz w:val="21"/>
          <w:szCs w:val="21"/>
          <w:lang w:val="es-ES" w:eastAsia="es-ES"/>
        </w:rPr>
        <w:t xml:space="preserve"> pues el marco de acción o actuación al cual se encuentra sujeto todo funcionario público y de no ajustarse a éste sus actos son nulos.</w:t>
      </w:r>
    </w:p>
    <w:p w:rsidR="00000000" w:rsidRDefault="00F21182">
      <w:pPr>
        <w:kinsoku w:val="0"/>
        <w:overflowPunct w:val="0"/>
        <w:autoSpaceDE/>
        <w:autoSpaceDN/>
        <w:adjustRightInd/>
        <w:spacing w:before="269" w:line="293" w:lineRule="exact"/>
        <w:ind w:left="72" w:right="72"/>
        <w:textAlignment w:val="baseline"/>
        <w:rPr>
          <w:b/>
          <w:bCs/>
          <w:spacing w:val="10"/>
          <w:sz w:val="23"/>
          <w:szCs w:val="23"/>
          <w:lang w:val="es-ES" w:eastAsia="es-ES"/>
        </w:rPr>
      </w:pPr>
      <w:r>
        <w:rPr>
          <w:b/>
          <w:bCs/>
          <w:spacing w:val="10"/>
          <w:sz w:val="23"/>
          <w:szCs w:val="23"/>
          <w:lang w:val="es-ES" w:eastAsia="es-ES"/>
        </w:rPr>
        <w:t>DE LA MOTIVACIÓN DE LOS ACTOS ADMINISTRATIVOS</w:t>
      </w:r>
    </w:p>
    <w:p w:rsidR="00000000" w:rsidRDefault="00F21182">
      <w:pPr>
        <w:kinsoku w:val="0"/>
        <w:overflowPunct w:val="0"/>
        <w:autoSpaceDE/>
        <w:autoSpaceDN/>
        <w:adjustRightInd/>
        <w:spacing w:before="275" w:line="263"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La Administración, en los casos donde se encuentra en juego intereses legí</w:t>
      </w:r>
      <w:r>
        <w:rPr>
          <w:rFonts w:ascii="Verdana" w:hAnsi="Verdana" w:cs="Verdana"/>
          <w:spacing w:val="3"/>
          <w:sz w:val="21"/>
          <w:szCs w:val="21"/>
          <w:lang w:val="es-ES" w:eastAsia="es-ES"/>
        </w:rPr>
        <w:t>timos de los administrados, debe ser exhaustiva en sus valoraciones técnicas, de modo que no se ponga en entre dicho ni su imparcialidad ni su objetivad, así como que no se le pueda achacar por simples errores perjuicios a una de las partes en la situación</w:t>
      </w:r>
      <w:r>
        <w:rPr>
          <w:rFonts w:ascii="Verdana" w:hAnsi="Verdana" w:cs="Verdana"/>
          <w:spacing w:val="3"/>
          <w:sz w:val="21"/>
          <w:szCs w:val="21"/>
          <w:lang w:val="es-ES" w:eastAsia="es-ES"/>
        </w:rPr>
        <w:t xml:space="preserve"> jurídica determinada, sin que medie motivo que deje con meridiana claridad establecido, el nexo de causalidad entre el daño causado y el interés público que se está alcanzando con tal acto.</w:t>
      </w:r>
    </w:p>
    <w:p w:rsidR="00000000" w:rsidRDefault="00F21182">
      <w:pPr>
        <w:kinsoku w:val="0"/>
        <w:overflowPunct w:val="0"/>
        <w:autoSpaceDE/>
        <w:autoSpaceDN/>
        <w:adjustRightInd/>
        <w:spacing w:before="277"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w:t>
      </w:r>
      <w:r>
        <w:rPr>
          <w:rFonts w:ascii="Verdana" w:hAnsi="Verdana" w:cs="Verdana"/>
          <w:sz w:val="21"/>
          <w:szCs w:val="21"/>
          <w:lang w:val="es-ES" w:eastAsia="es-ES"/>
        </w:rPr>
        <w:t>í donde la Administración, podrá justificar de manera, lógica, técnica, científica o jurídicamente la decisión que ha de adoptar.</w:t>
      </w:r>
    </w:p>
    <w:p w:rsidR="00000000" w:rsidRDefault="00F21182">
      <w:pPr>
        <w:kinsoku w:val="0"/>
        <w:overflowPunct w:val="0"/>
        <w:autoSpaceDE/>
        <w:autoSpaceDN/>
        <w:adjustRightInd/>
        <w:spacing w:before="246" w:line="263"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En el caso de los informes de los departamentos técnicos, estos deben cumplir con el aspecto de la motivación, más aú</w:t>
      </w:r>
      <w:r>
        <w:rPr>
          <w:rFonts w:ascii="Verdana" w:hAnsi="Verdana" w:cs="Verdana"/>
          <w:spacing w:val="4"/>
          <w:sz w:val="21"/>
          <w:szCs w:val="21"/>
          <w:lang w:val="es-ES" w:eastAsia="es-ES"/>
        </w:rPr>
        <w:t>n cuando son el sustento técnico del acto final, ya que en este caso el informe es parte del acto administrativo, una vez que es adoptado y como un todo, si éste carece de motivación, afecta de la misma manera al acto y por lo tanto lo vicia de nulidad por</w:t>
      </w:r>
      <w:r>
        <w:rPr>
          <w:rFonts w:ascii="Verdana" w:hAnsi="Verdana" w:cs="Verdana"/>
          <w:spacing w:val="4"/>
          <w:sz w:val="21"/>
          <w:szCs w:val="21"/>
          <w:lang w:val="es-ES" w:eastAsia="es-ES"/>
        </w:rPr>
        <w:t xml:space="preserve"> ausencia de aquel elemento.</w:t>
      </w:r>
    </w:p>
    <w:p w:rsidR="00000000" w:rsidRDefault="00F21182">
      <w:pPr>
        <w:kinsoku w:val="0"/>
        <w:overflowPunct w:val="0"/>
        <w:autoSpaceDE/>
        <w:autoSpaceDN/>
        <w:adjustRightInd/>
        <w:spacing w:before="311"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000000" w:rsidRDefault="00F21182">
      <w:pPr>
        <w:kinsoku w:val="0"/>
        <w:overflowPunct w:val="0"/>
        <w:autoSpaceDE/>
        <w:autoSpaceDN/>
        <w:adjustRightInd/>
        <w:spacing w:before="326" w:after="604" w:line="246" w:lineRule="exact"/>
        <w:ind w:left="432" w:right="432"/>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"IV.- DE LA MOTIVACIÓN COMO ELEMENTO ESENCIAL DE LA ACTUACIÓN FORMAL DE LA</w:t>
      </w:r>
      <w:r>
        <w:rPr>
          <w:rFonts w:ascii="Verdana" w:hAnsi="Verdana" w:cs="Verdana"/>
          <w:b/>
          <w:bCs/>
          <w:i/>
          <w:iCs/>
          <w:sz w:val="19"/>
          <w:szCs w:val="19"/>
          <w:lang w:val="es-ES" w:eastAsia="es-ES"/>
        </w:rPr>
        <w:t xml:space="preserve"> ADMINISTRACIÓN PÚBLICA.- </w:t>
      </w:r>
      <w:r>
        <w:rPr>
          <w:rFonts w:ascii="Verdana" w:hAnsi="Verdana" w:cs="Verdana"/>
          <w:i/>
          <w:iCs/>
          <w:sz w:val="19"/>
          <w:szCs w:val="19"/>
          <w:lang w:val="es-ES" w:eastAsia="es-ES"/>
        </w:rPr>
        <w:t xml:space="preserve">El </w:t>
      </w:r>
      <w:r>
        <w:rPr>
          <w:rFonts w:ascii="Verdana" w:hAnsi="Verdana" w:cs="Verdana"/>
          <w:b/>
          <w:bCs/>
          <w:i/>
          <w:iCs/>
          <w:sz w:val="19"/>
          <w:szCs w:val="19"/>
          <w:lang w:val="es-ES" w:eastAsia="es-ES"/>
        </w:rPr>
        <w:t xml:space="preserve">primer motivo de impugnación </w:t>
      </w:r>
      <w:r>
        <w:rPr>
          <w:rFonts w:ascii="Verdana" w:hAnsi="Verdana" w:cs="Verdana"/>
          <w:i/>
          <w:iCs/>
          <w:sz w:val="19"/>
          <w:szCs w:val="19"/>
          <w:lang w:val="es-ES" w:eastAsia="es-ES"/>
        </w:rPr>
        <w:t xml:space="preserve">es la </w:t>
      </w:r>
      <w:r>
        <w:rPr>
          <w:rFonts w:ascii="Verdana" w:hAnsi="Verdana" w:cs="Verdana"/>
          <w:b/>
          <w:bCs/>
          <w:i/>
          <w:iCs/>
          <w:sz w:val="19"/>
          <w:szCs w:val="19"/>
          <w:lang w:val="es-ES" w:eastAsia="es-ES"/>
        </w:rPr>
        <w:t>falta de fundamentación e incongruencia de la</w:t>
      </w:r>
    </w:p>
    <w:p w:rsidR="00000000" w:rsidRDefault="00F21182">
      <w:pPr>
        <w:widowControl/>
        <w:rPr>
          <w:sz w:val="24"/>
          <w:szCs w:val="24"/>
        </w:rPr>
        <w:sectPr w:rsidR="00000000">
          <w:pgSz w:w="12288" w:h="15725"/>
          <w:pgMar w:top="1460" w:right="1549" w:bottom="242" w:left="1699" w:header="720" w:footer="720" w:gutter="0"/>
          <w:cols w:space="720"/>
          <w:noEndnote/>
        </w:sectPr>
      </w:pPr>
    </w:p>
    <w:p w:rsidR="00000000" w:rsidRDefault="00F21182">
      <w:pPr>
        <w:widowControl/>
        <w:rPr>
          <w:sz w:val="24"/>
          <w:szCs w:val="24"/>
        </w:rPr>
        <w:sectPr w:rsidR="00000000">
          <w:type w:val="continuous"/>
          <w:pgSz w:w="12288" w:h="15725"/>
          <w:pgMar w:top="1460" w:right="1644" w:bottom="242" w:left="7544" w:header="720" w:footer="720" w:gutter="0"/>
          <w:cols w:space="720"/>
          <w:noEndnote/>
        </w:sectPr>
      </w:pPr>
    </w:p>
    <w:p w:rsidR="00000000" w:rsidRDefault="00F21182">
      <w:pPr>
        <w:kinsoku w:val="0"/>
        <w:overflowPunct w:val="0"/>
        <w:autoSpaceDE/>
        <w:autoSpaceDN/>
        <w:adjustRightInd/>
        <w:spacing w:before="124" w:line="239" w:lineRule="exact"/>
        <w:ind w:left="432" w:right="432"/>
        <w:jc w:val="both"/>
        <w:textAlignment w:val="baseline"/>
        <w:rPr>
          <w:i/>
          <w:iCs/>
          <w:spacing w:val="-2"/>
          <w:lang w:val="es-ES" w:eastAsia="es-ES"/>
        </w:rPr>
      </w:pPr>
      <w:r>
        <w:rPr>
          <w:rFonts w:ascii="Verdana" w:hAnsi="Verdana" w:cs="Verdana"/>
          <w:b/>
          <w:bCs/>
          <w:i/>
          <w:iCs/>
          <w:spacing w:val="-2"/>
          <w:lang w:val="es-ES" w:eastAsia="es-ES"/>
        </w:rPr>
        <w:lastRenderedPageBreak/>
        <w:t xml:space="preserve">resolución administrativa impugnada . </w:t>
      </w:r>
      <w:r>
        <w:rPr>
          <w:rFonts w:ascii="Verdana" w:hAnsi="Verdana" w:cs="Verdana"/>
          <w:i/>
          <w:iCs/>
          <w:spacing w:val="-2"/>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2"/>
          <w:u w:val="single"/>
          <w:lang w:val="es-ES" w:eastAsia="es-ES"/>
        </w:rPr>
        <w:t xml:space="preserve">materiales </w:t>
      </w:r>
      <w:r>
        <w:rPr>
          <w:rFonts w:ascii="Verdana" w:hAnsi="Verdana" w:cs="Verdana"/>
          <w:b/>
          <w:bCs/>
          <w:i/>
          <w:iCs/>
          <w:spacing w:val="-2"/>
          <w:lang w:val="es-ES" w:eastAsia="es-ES"/>
        </w:rPr>
        <w:t xml:space="preserve">, </w:t>
      </w:r>
      <w:r>
        <w:rPr>
          <w:rFonts w:ascii="Verdana" w:hAnsi="Verdana" w:cs="Verdana"/>
          <w:i/>
          <w:iCs/>
          <w:spacing w:val="-2"/>
          <w:lang w:val="es-ES" w:eastAsia="es-ES"/>
        </w:rPr>
        <w:t>relativo</w:t>
      </w:r>
      <w:r>
        <w:rPr>
          <w:rFonts w:ascii="Verdana" w:hAnsi="Verdana" w:cs="Verdana"/>
          <w:i/>
          <w:iCs/>
          <w:spacing w:val="-2"/>
          <w:lang w:val="es-ES" w:eastAsia="es-ES"/>
        </w:rPr>
        <w:t xml:space="preserve">s a los </w:t>
      </w:r>
      <w:r>
        <w:rPr>
          <w:rFonts w:ascii="Verdana" w:hAnsi="Verdana" w:cs="Verdana"/>
          <w:b/>
          <w:bCs/>
          <w:i/>
          <w:iCs/>
          <w:spacing w:val="-2"/>
          <w:lang w:val="es-ES" w:eastAsia="es-ES"/>
        </w:rPr>
        <w:t xml:space="preserve">elementos subjetivos ( </w:t>
      </w:r>
      <w:r>
        <w:rPr>
          <w:rFonts w:ascii="Verdana" w:hAnsi="Verdana" w:cs="Verdana"/>
          <w:i/>
          <w:iCs/>
          <w:spacing w:val="-2"/>
          <w:lang w:val="es-ES" w:eastAsia="es-ES"/>
        </w:rPr>
        <w:t xml:space="preserve">competencia, legitimación e investidura ), </w:t>
      </w:r>
      <w:r>
        <w:rPr>
          <w:rFonts w:ascii="Verdana" w:hAnsi="Verdana" w:cs="Verdana"/>
          <w:b/>
          <w:bCs/>
          <w:i/>
          <w:iCs/>
          <w:spacing w:val="-2"/>
          <w:lang w:val="es-ES" w:eastAsia="es-ES"/>
        </w:rPr>
        <w:t xml:space="preserve">objetivos ( </w:t>
      </w:r>
      <w:r>
        <w:rPr>
          <w:rFonts w:ascii="Verdana" w:hAnsi="Verdana" w:cs="Verdana"/>
          <w:i/>
          <w:iCs/>
          <w:spacing w:val="-2"/>
          <w:lang w:val="es-ES" w:eastAsia="es-ES"/>
        </w:rPr>
        <w:t xml:space="preserve">fin, contenido y motivo -artículos 131, 132 y 133 de la Ley General de la Administración Pública y 49 de la Constitución Política ) y </w:t>
      </w:r>
      <w:r>
        <w:rPr>
          <w:rFonts w:ascii="Verdana" w:hAnsi="Verdana" w:cs="Verdana"/>
          <w:b/>
          <w:bCs/>
          <w:i/>
          <w:iCs/>
          <w:spacing w:val="-2"/>
          <w:u w:val="single"/>
          <w:lang w:val="es-ES" w:eastAsia="es-ES"/>
        </w:rPr>
        <w:t xml:space="preserve">formales </w:t>
      </w:r>
      <w:r>
        <w:rPr>
          <w:rFonts w:ascii="Verdana" w:hAnsi="Verdana" w:cs="Verdana"/>
          <w:b/>
          <w:bCs/>
          <w:i/>
          <w:iCs/>
          <w:spacing w:val="-2"/>
          <w:lang w:val="es-ES" w:eastAsia="es-ES"/>
        </w:rPr>
        <w:t xml:space="preserve">, </w:t>
      </w:r>
      <w:r>
        <w:rPr>
          <w:rFonts w:ascii="Verdana" w:hAnsi="Verdana" w:cs="Verdana"/>
          <w:i/>
          <w:iCs/>
          <w:spacing w:val="-2"/>
          <w:lang w:val="es-ES" w:eastAsia="es-ES"/>
        </w:rPr>
        <w:t>comprensivos de los forma</w:t>
      </w:r>
      <w:r>
        <w:rPr>
          <w:rFonts w:ascii="Verdana" w:hAnsi="Verdana" w:cs="Verdana"/>
          <w:i/>
          <w:iCs/>
          <w:spacing w:val="-2"/>
          <w:lang w:val="es-ES" w:eastAsia="es-ES"/>
        </w:rPr>
        <w:t xml:space="preserve"> en que se adopta el acto, sea, el medio de expresión o manifestación (instrumentación), la motivación o fundamentación (artículo 136 de la citada Ley General) y el procedimiento seguido para su adopción (artículos 214 y 308 de la Ley General de la Adminis</w:t>
      </w:r>
      <w:r>
        <w:rPr>
          <w:rFonts w:ascii="Verdana" w:hAnsi="Verdana" w:cs="Verdana"/>
          <w:i/>
          <w:iCs/>
          <w:spacing w:val="-2"/>
          <w:lang w:val="es-ES" w:eastAsia="es-ES"/>
        </w:rPr>
        <w:t>tración Pública y 39 y 41 de la Constitución). La motivación consiste "... en una declaración de cuáles son las circunstancias de hecho y de derecho que han llevado a la respectiva administración pública al dictado o emanación del acto administrativo. La m</w:t>
      </w:r>
      <w:r>
        <w:rPr>
          <w:rFonts w:ascii="Verdana" w:hAnsi="Verdana" w:cs="Verdana"/>
          <w:i/>
          <w:iCs/>
          <w:spacing w:val="-2"/>
          <w:lang w:val="es-ES" w:eastAsia="es-ES"/>
        </w:rPr>
        <w:t xml:space="preserve">otivación es la expresión formal del motivo y, normalmente, en cualquier resolución administrativa, está contenida en los denominados 'considerandos' </w:t>
      </w:r>
      <w:r>
        <w:rPr>
          <w:rFonts w:ascii="Verdana" w:hAnsi="Verdana" w:cs="Verdana"/>
          <w:i/>
          <w:iCs/>
          <w:spacing w:val="-2"/>
          <w:lang w:val="es-ES" w:eastAsia="es-ES"/>
        </w:rPr>
        <w:softHyphen/>
        <w:t>parte considerativa-. La motivación, al consistir en una enunciación de los hechos y del fundamento juríd</w:t>
      </w:r>
      <w:r>
        <w:rPr>
          <w:rFonts w:ascii="Verdana" w:hAnsi="Verdana" w:cs="Verdana"/>
          <w:i/>
          <w:iCs/>
          <w:spacing w:val="-2"/>
          <w:lang w:val="es-ES" w:eastAsia="es-ES"/>
        </w:rPr>
        <w:t>ico que la administración pública tuvo en cuenta para emitir su decisión o voluntad, constituye un medio de prueba de la intencionalidad de esta y una pauta indispensable para interpretar y aplicar el respectivo acto administrativo. " (JINESTA LOBO, Ernest</w:t>
      </w:r>
      <w:r>
        <w:rPr>
          <w:rFonts w:ascii="Verdana" w:hAnsi="Verdana" w:cs="Verdana"/>
          <w:i/>
          <w:iCs/>
          <w:spacing w:val="-2"/>
          <w:lang w:val="es-ES" w:eastAsia="es-ES"/>
        </w:rPr>
        <w:t xml:space="preserve">o. </w:t>
      </w:r>
      <w:r>
        <w:rPr>
          <w:rFonts w:ascii="Verdana" w:hAnsi="Verdana" w:cs="Verdana"/>
          <w:i/>
          <w:iCs/>
          <w:spacing w:val="-2"/>
          <w:u w:val="single"/>
          <w:lang w:val="es-ES" w:eastAsia="es-ES"/>
        </w:rPr>
        <w:t xml:space="preserve">Tratado de Derecho Administrativo </w:t>
      </w:r>
      <w:r>
        <w:rPr>
          <w:rFonts w:ascii="Verdana" w:hAnsi="Verdana" w:cs="Verdana"/>
          <w:i/>
          <w:iCs/>
          <w:spacing w:val="-2"/>
          <w:lang w:val="es-ES" w:eastAsia="es-ES"/>
        </w:rPr>
        <w:t xml:space="preserve"> . Tomo I. (Parte General). Biblioteca Jurídica Dike. Primera edición. Medellín , Colombia . 2002. p. 388.) De manera que la motivación debe </w:t>
      </w:r>
      <w:r>
        <w:rPr>
          <w:rFonts w:ascii="Verdana" w:hAnsi="Verdana" w:cs="Verdana"/>
          <w:b/>
          <w:bCs/>
          <w:i/>
          <w:iCs/>
          <w:spacing w:val="-2"/>
          <w:lang w:val="es-ES" w:eastAsia="es-ES"/>
        </w:rPr>
        <w:t>determinar la aplicación de un concepto a las circunstancias de hecho singular</w:t>
      </w:r>
      <w:r>
        <w:rPr>
          <w:rFonts w:ascii="Verdana" w:hAnsi="Verdana" w:cs="Verdana"/>
          <w:b/>
          <w:bCs/>
          <w:i/>
          <w:iCs/>
          <w:spacing w:val="-2"/>
          <w:lang w:val="es-ES" w:eastAsia="es-ES"/>
        </w:rPr>
        <w:t xml:space="preserve">es de que se trate </w:t>
      </w:r>
      <w:r>
        <w:rPr>
          <w:rFonts w:ascii="Verdana" w:hAnsi="Verdana" w:cs="Verdana"/>
          <w:i/>
          <w:iCs/>
          <w:spacing w:val="-2"/>
          <w:lang w:val="es-ES" w:eastAsia="es-ES"/>
        </w:rPr>
        <w:t>(según desarrollo de la jurisprudencia española, propiamente en la sentencia del 18 de mayo de 1991, RA 4120, aceptando considerando de la apelada, que cita las SSTS de 23 de setiembre de 1969, RA 6078, y 7 de octubre de 1970, RA 4251, c</w:t>
      </w:r>
      <w:r>
        <w:rPr>
          <w:rFonts w:ascii="Verdana" w:hAnsi="Verdana" w:cs="Verdana"/>
          <w:i/>
          <w:iCs/>
          <w:spacing w:val="-2"/>
          <w:lang w:val="es-ES" w:eastAsia="es-ES"/>
        </w:rPr>
        <w:t xml:space="preserve">itado por el autor Marcos M. Fernando Pablo, en su obra La </w:t>
      </w:r>
      <w:r>
        <w:rPr>
          <w:rFonts w:ascii="Verdana" w:hAnsi="Verdana" w:cs="Verdana"/>
          <w:i/>
          <w:iCs/>
          <w:spacing w:val="-2"/>
          <w:u w:val="single"/>
          <w:lang w:val="es-ES" w:eastAsia="es-ES"/>
        </w:rPr>
        <w:t xml:space="preserve">motivación del acto administrativo </w:t>
      </w:r>
      <w:r>
        <w:rPr>
          <w:rFonts w:ascii="Verdana" w:hAnsi="Verdana" w:cs="Verdana"/>
          <w:i/>
          <w:iCs/>
          <w:spacing w:val="-2"/>
          <w:lang w:val="es-ES" w:eastAsia="es-ES"/>
        </w:rPr>
        <w:t xml:space="preserve"> . (Editorial Tecnos, S. A. Madrid. 1993, página 190); es decir, se trata de una deción concreta, que liga los hechos con el sustento normativo; de manera que cua</w:t>
      </w:r>
      <w:r>
        <w:rPr>
          <w:rFonts w:ascii="Verdana" w:hAnsi="Verdana" w:cs="Verdana"/>
          <w:i/>
          <w:iCs/>
          <w:spacing w:val="-2"/>
          <w:lang w:val="es-ES" w:eastAsia="es-ES"/>
        </w:rPr>
        <w:t xml:space="preserve">ndo hay una breve alusión a normas generales y hechos inespecíficos, se puede concluir que no hay aporte suficiente de justicación, en la medida en que de ellos no es posible deducir los </w:t>
      </w:r>
      <w:r>
        <w:rPr>
          <w:i/>
          <w:iCs/>
          <w:spacing w:val="-2"/>
          <w:lang w:val="es-ES" w:eastAsia="es-ES"/>
        </w:rPr>
        <w:t>elementos valorados por la autoridad gubernativa para tomar la decisi</w:t>
      </w:r>
      <w:r>
        <w:rPr>
          <w:i/>
          <w:iCs/>
          <w:spacing w:val="-2"/>
          <w:lang w:val="es-ES" w:eastAsia="es-ES"/>
        </w:rPr>
        <w:t>ón ... "</w:t>
      </w:r>
    </w:p>
    <w:p w:rsidR="00000000" w:rsidRDefault="00F21182">
      <w:pPr>
        <w:kinsoku w:val="0"/>
        <w:overflowPunct w:val="0"/>
        <w:autoSpaceDE/>
        <w:autoSpaceDN/>
        <w:adjustRightInd/>
        <w:spacing w:before="732" w:line="259" w:lineRule="exact"/>
        <w:ind w:left="72"/>
        <w:textAlignment w:val="baseline"/>
        <w:rPr>
          <w:b/>
          <w:bCs/>
          <w:spacing w:val="5"/>
          <w:sz w:val="23"/>
          <w:szCs w:val="23"/>
          <w:lang w:val="es-ES" w:eastAsia="es-ES"/>
        </w:rPr>
      </w:pPr>
      <w:r>
        <w:rPr>
          <w:b/>
          <w:bCs/>
          <w:spacing w:val="5"/>
          <w:sz w:val="23"/>
          <w:szCs w:val="23"/>
          <w:lang w:val="es-ES" w:eastAsia="es-ES"/>
        </w:rPr>
        <w:t>SOBRE EL CASO CONCRETO</w:t>
      </w:r>
    </w:p>
    <w:p w:rsidR="00000000" w:rsidRDefault="00F21182" w:rsidP="00F21182">
      <w:pPr>
        <w:kinsoku w:val="0"/>
        <w:overflowPunct w:val="0"/>
        <w:autoSpaceDE/>
        <w:autoSpaceDN/>
        <w:adjustRightInd/>
        <w:spacing w:before="547" w:line="273"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Como se verifica de las piezas del expediente, el recurrente en el </w:t>
      </w:r>
      <w:r>
        <w:rPr>
          <w:spacing w:val="-2"/>
          <w:sz w:val="23"/>
          <w:szCs w:val="23"/>
          <w:lang w:val="es-ES" w:eastAsia="es-ES"/>
        </w:rPr>
        <w:t xml:space="preserve">"FORMULARIO PARA LA RENOVACIÓN DE CONCESIONES DE TAXIS" </w:t>
      </w:r>
      <w:r>
        <w:rPr>
          <w:rFonts w:ascii="Verdana" w:hAnsi="Verdana" w:cs="Verdana"/>
          <w:spacing w:val="-2"/>
          <w:sz w:val="22"/>
          <w:szCs w:val="22"/>
          <w:lang w:val="es-ES" w:eastAsia="es-ES"/>
        </w:rPr>
        <w:t xml:space="preserve">en una primera instancia </w:t>
      </w:r>
      <w:r>
        <w:rPr>
          <w:rFonts w:ascii="Verdana" w:hAnsi="Verdana" w:cs="Verdana"/>
          <w:spacing w:val="-2"/>
          <w:sz w:val="22"/>
          <w:szCs w:val="22"/>
          <w:lang w:val="es-ES" w:eastAsia="es-ES"/>
        </w:rPr>
        <w:t>indicó</w:t>
      </w:r>
      <w:r>
        <w:rPr>
          <w:rFonts w:ascii="Verdana" w:hAnsi="Verdana" w:cs="Verdana"/>
          <w:spacing w:val="-2"/>
          <w:sz w:val="22"/>
          <w:szCs w:val="22"/>
          <w:lang w:val="es-ES" w:eastAsia="es-ES"/>
        </w:rPr>
        <w:tab/>
        <w:t>medio</w:t>
      </w:r>
      <w:r>
        <w:rPr>
          <w:rFonts w:ascii="Verdana" w:hAnsi="Verdana" w:cs="Verdana"/>
          <w:spacing w:val="-2"/>
          <w:sz w:val="22"/>
          <w:szCs w:val="22"/>
          <w:lang w:val="es-ES" w:eastAsia="es-ES"/>
        </w:rPr>
        <w:tab/>
        <w:t>para</w:t>
      </w:r>
      <w:r>
        <w:rPr>
          <w:rFonts w:ascii="Verdana" w:hAnsi="Verdana" w:cs="Verdana"/>
          <w:spacing w:val="-2"/>
          <w:sz w:val="22"/>
          <w:szCs w:val="22"/>
          <w:lang w:val="es-ES" w:eastAsia="es-ES"/>
        </w:rPr>
        <w:tab/>
        <w:t xml:space="preserve">notificaciones </w:t>
      </w:r>
      <w:r>
        <w:rPr>
          <w:rFonts w:ascii="Verdana" w:hAnsi="Verdana" w:cs="Verdana"/>
          <w:spacing w:val="-2"/>
          <w:sz w:val="22"/>
          <w:szCs w:val="22"/>
          <w:lang w:val="es-ES" w:eastAsia="es-ES"/>
        </w:rPr>
        <w:t xml:space="preserve">la cuenta </w:t>
      </w:r>
      <w:r>
        <w:rPr>
          <w:rFonts w:ascii="Verdana" w:hAnsi="Verdana" w:cs="Verdana"/>
          <w:spacing w:val="-2"/>
          <w:sz w:val="22"/>
          <w:szCs w:val="22"/>
          <w:lang w:val="es-ES" w:eastAsia="es-ES"/>
        </w:rPr>
        <w:t xml:space="preserve">de </w:t>
      </w:r>
      <w:r>
        <w:rPr>
          <w:rFonts w:ascii="Verdana" w:hAnsi="Verdana" w:cs="Verdana"/>
          <w:spacing w:val="-2"/>
          <w:sz w:val="22"/>
          <w:szCs w:val="22"/>
          <w:lang w:val="es-ES" w:eastAsia="es-ES"/>
        </w:rPr>
        <w:t xml:space="preserve">correo </w:t>
      </w:r>
      <w:hyperlink r:id="rId10" w:history="1">
        <w:r w:rsidRPr="001F7DA1">
          <w:rPr>
            <w:rStyle w:val="Hipervnculo"/>
            <w:rFonts w:ascii="Verdana" w:hAnsi="Verdana" w:cs="Verdana"/>
            <w:spacing w:val="-2"/>
            <w:sz w:val="22"/>
            <w:szCs w:val="22"/>
            <w:lang w:val="es-ES" w:eastAsia="es-ES"/>
          </w:rPr>
          <w:t>xxxxxxxx@hotmail.com</w:t>
        </w:r>
      </w:hyperlink>
      <w:r>
        <w:rPr>
          <w:rFonts w:ascii="Verdana" w:hAnsi="Verdana" w:cs="Verdana"/>
          <w:spacing w:val="-2"/>
          <w:sz w:val="22"/>
          <w:szCs w:val="22"/>
          <w:u w:val="single"/>
          <w:lang w:val="es-ES" w:eastAsia="es-ES"/>
        </w:rPr>
        <w:t>.;</w:t>
      </w:r>
      <w:r>
        <w:rPr>
          <w:rFonts w:ascii="Verdana" w:hAnsi="Verdana" w:cs="Verdana"/>
          <w:spacing w:val="-2"/>
          <w:sz w:val="22"/>
          <w:szCs w:val="22"/>
          <w:lang w:val="es-ES" w:eastAsia="es-ES"/>
        </w:rPr>
        <w:t xml:space="preserve"> a este medio se le notificó</w:t>
      </w:r>
      <w:r>
        <w:rPr>
          <w:rFonts w:ascii="Verdana" w:hAnsi="Verdana" w:cs="Verdana"/>
          <w:spacing w:val="-2"/>
          <w:sz w:val="22"/>
          <w:szCs w:val="22"/>
          <w:lang w:val="es-ES" w:eastAsia="es-ES"/>
        </w:rPr>
        <w:t xml:space="preserve"> una primera cita para el 28 de noviembre de 2014 a las 10 de la mañana a la cual no asistió; el correo fue enviado el 25 de noviembre de ese año. Posteriormente el recurrente mediante escrito presentado ante el CTP el 19 de diciembre de 2014, solicita rep</w:t>
      </w:r>
      <w:r>
        <w:rPr>
          <w:rFonts w:ascii="Verdana" w:hAnsi="Verdana" w:cs="Verdana"/>
          <w:spacing w:val="-2"/>
          <w:sz w:val="22"/>
          <w:szCs w:val="22"/>
          <w:lang w:val="es-ES" w:eastAsia="es-ES"/>
        </w:rPr>
        <w:t xml:space="preserve">rogramación de cita e indica como </w:t>
      </w:r>
      <w:r w:rsidRPr="00F21182">
        <w:rPr>
          <w:rFonts w:ascii="Verdana" w:hAnsi="Verdana" w:cs="Verdana"/>
          <w:spacing w:val="-2"/>
          <w:sz w:val="22"/>
          <w:szCs w:val="22"/>
          <w:lang w:val="es-ES" w:eastAsia="es-ES"/>
        </w:rPr>
        <w:t xml:space="preserve">nuevo medio para notificaciones el correo electrónico </w:t>
      </w:r>
      <w:hyperlink r:id="rId11" w:history="1">
        <w:r w:rsidRPr="00F21182">
          <w:rPr>
            <w:rStyle w:val="Hipervnculo"/>
            <w:rFonts w:ascii="Verdana" w:hAnsi="Verdana" w:cs="Verdana"/>
            <w:color w:val="auto"/>
            <w:spacing w:val="-2"/>
            <w:sz w:val="22"/>
            <w:szCs w:val="22"/>
            <w:lang w:val="es-ES" w:eastAsia="es-ES"/>
          </w:rPr>
          <w:t>xxxxxxxxxx@lafuente.cr</w:t>
        </w:r>
      </w:hyperlink>
      <w:r w:rsidRPr="00F21182">
        <w:rPr>
          <w:rFonts w:ascii="Verdana" w:hAnsi="Verdana" w:cs="Verdana"/>
          <w:spacing w:val="-2"/>
          <w:sz w:val="22"/>
          <w:szCs w:val="22"/>
          <w:u w:val="single"/>
          <w:lang w:val="es-ES" w:eastAsia="es-ES"/>
        </w:rPr>
        <w:t>.,</w:t>
      </w:r>
      <w:r w:rsidRPr="00F21182">
        <w:rPr>
          <w:rFonts w:ascii="Verdana" w:hAnsi="Verdana" w:cs="Verdana"/>
          <w:spacing w:val="-2"/>
          <w:sz w:val="22"/>
          <w:szCs w:val="22"/>
          <w:lang w:val="es-ES" w:eastAsia="es-ES"/>
        </w:rPr>
        <w:t xml:space="preserve"> a</w:t>
      </w:r>
      <w:r>
        <w:rPr>
          <w:rFonts w:ascii="Verdana" w:hAnsi="Verdana" w:cs="Verdana"/>
          <w:spacing w:val="-2"/>
          <w:sz w:val="22"/>
          <w:szCs w:val="22"/>
          <w:lang w:val="es-ES" w:eastAsia="es-ES"/>
        </w:rPr>
        <w:t xml:space="preserve"> ese medio se le notifica el 16 de diciembre de 2015 cita para el 21 de diciembre de 2015 a</w:t>
      </w:r>
    </w:p>
    <w:p w:rsidR="00000000" w:rsidRDefault="00F21182">
      <w:pPr>
        <w:widowControl/>
        <w:rPr>
          <w:sz w:val="24"/>
          <w:szCs w:val="24"/>
        </w:rPr>
        <w:sectPr w:rsidR="00000000">
          <w:pgSz w:w="12288" w:h="15725"/>
          <w:pgMar w:top="1280" w:right="1580" w:bottom="329" w:left="1668" w:header="720" w:footer="720" w:gutter="0"/>
          <w:cols w:space="720"/>
          <w:noEndnote/>
        </w:sectPr>
      </w:pPr>
    </w:p>
    <w:p w:rsidR="00000000" w:rsidRDefault="00F21182">
      <w:pPr>
        <w:kinsoku w:val="0"/>
        <w:overflowPunct w:val="0"/>
        <w:autoSpaceDE/>
        <w:autoSpaceDN/>
        <w:adjustRightInd/>
        <w:spacing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las 9:00 horas a la que no tampoco asistió. (Léanse folios 81, 86,88 y 89, 101 del expediente administrativo)</w:t>
      </w:r>
    </w:p>
    <w:p w:rsidR="00000000" w:rsidRDefault="00F21182">
      <w:pPr>
        <w:kinsoku w:val="0"/>
        <w:overflowPunct w:val="0"/>
        <w:autoSpaceDE/>
        <w:autoSpaceDN/>
        <w:adjustRightInd/>
        <w:spacing w:before="263"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w:t>
      </w:r>
      <w:r>
        <w:rPr>
          <w:rFonts w:ascii="Verdana" w:hAnsi="Verdana" w:cs="Verdana"/>
          <w:sz w:val="22"/>
          <w:szCs w:val="22"/>
          <w:lang w:val="es-ES" w:eastAsia="es-ES"/>
        </w:rPr>
        <w:t>cuerdo a lo anterior, los argumentos del recurrente no son de recibo pues se limita a indicar que nunca le ingreso los correos electrónicos enviados por el CTP a su cuenta de correo y que revisó las bandejas de correos no deseados y la principal y no encon</w:t>
      </w:r>
      <w:r>
        <w:rPr>
          <w:rFonts w:ascii="Verdana" w:hAnsi="Verdana" w:cs="Verdana"/>
          <w:sz w:val="22"/>
          <w:szCs w:val="22"/>
          <w:lang w:val="es-ES" w:eastAsia="es-ES"/>
        </w:rPr>
        <w:t>tró correo alguno, sin embargo no aporta pruebas de lo dicho y por el contrario la administración eleva en el expediente del caso a este despacho copia certificadas de los comprobantes de notificación los cuales fueron enviados a las cuentas de correos des</w:t>
      </w:r>
      <w:r>
        <w:rPr>
          <w:rFonts w:ascii="Verdana" w:hAnsi="Verdana" w:cs="Verdana"/>
          <w:sz w:val="22"/>
          <w:szCs w:val="22"/>
          <w:lang w:val="es-ES" w:eastAsia="es-ES"/>
        </w:rPr>
        <w:t>ignadas por el recurrente.</w:t>
      </w:r>
    </w:p>
    <w:p w:rsidR="00000000" w:rsidRDefault="00F21182">
      <w:pPr>
        <w:kinsoku w:val="0"/>
        <w:overflowPunct w:val="0"/>
        <w:autoSpaceDE/>
        <w:autoSpaceDN/>
        <w:adjustRightInd/>
        <w:spacing w:before="26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determina en la especie el mismo recurrente en su escrito corrobora que su cuenta de correo es </w:t>
      </w:r>
      <w:hyperlink r:id="rId12" w:history="1">
        <w:r w:rsidRPr="00F21182">
          <w:rPr>
            <w:rStyle w:val="Hipervnculo"/>
            <w:color w:val="auto"/>
            <w:sz w:val="25"/>
            <w:szCs w:val="25"/>
            <w:lang w:val="es-ES" w:eastAsia="es-ES"/>
          </w:rPr>
          <w:t>xxxxxxxxx@lafuente.cr</w:t>
        </w:r>
      </w:hyperlink>
      <w:r>
        <w:rPr>
          <w:sz w:val="25"/>
          <w:szCs w:val="25"/>
          <w:u w:val="single"/>
          <w:lang w:val="es-ES" w:eastAsia="es-ES"/>
        </w:rPr>
        <w:t xml:space="preserve">., </w:t>
      </w:r>
      <w:r>
        <w:rPr>
          <w:rFonts w:ascii="Verdana" w:hAnsi="Verdana" w:cs="Verdana"/>
          <w:sz w:val="22"/>
          <w:szCs w:val="22"/>
          <w:lang w:val="es-ES" w:eastAsia="es-ES"/>
        </w:rPr>
        <w:t>misma a la que se comunicó la segunda cita otorgada luego de que el mismo pidiera una reprogram</w:t>
      </w:r>
      <w:r>
        <w:rPr>
          <w:rFonts w:ascii="Verdana" w:hAnsi="Verdana" w:cs="Verdana"/>
          <w:sz w:val="22"/>
          <w:szCs w:val="22"/>
          <w:lang w:val="es-ES" w:eastAsia="es-ES"/>
        </w:rPr>
        <w:t>ación de la cita e indicara ese correo como nuevo medio de atención de notificaciones y a éste mismo se le notificó el acuerdo impugnado el que recurrió en tiempo, lo que evidencia que las notificaciones si se realizaron de manera adecuada.</w:t>
      </w:r>
    </w:p>
    <w:p w:rsidR="00000000" w:rsidRDefault="00F21182">
      <w:pPr>
        <w:kinsoku w:val="0"/>
        <w:overflowPunct w:val="0"/>
        <w:autoSpaceDE/>
        <w:autoSpaceDN/>
        <w:adjustRightInd/>
        <w:spacing w:before="268"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mismo sentido del párrafo anterior, existe una presunción jurídica de que nadie puede alegar desconocimiento de la norma y el recurrente no aporta pruebas de que haya tratado de cumplir con lo dispuesto en el numeral 40 de la Ley 7969, por el contrar</w:t>
      </w:r>
      <w:r>
        <w:rPr>
          <w:rFonts w:ascii="Verdana" w:hAnsi="Verdana" w:cs="Verdana"/>
          <w:sz w:val="22"/>
          <w:szCs w:val="22"/>
          <w:lang w:val="es-ES" w:eastAsia="es-ES"/>
        </w:rPr>
        <w:t>io, la Administración aporta documento en el que se determina que en dos ocasiones se le cito y no acudió a tales compromisos.</w:t>
      </w:r>
    </w:p>
    <w:p w:rsidR="00000000" w:rsidRDefault="00F21182">
      <w:pPr>
        <w:kinsoku w:val="0"/>
        <w:overflowPunct w:val="0"/>
        <w:autoSpaceDE/>
        <w:autoSpaceDN/>
        <w:adjustRightInd/>
        <w:spacing w:before="268" w:line="269"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Nótese que es más bien la Administración la que aporta pruebas de que al correo indicado se le notificó</w:t>
      </w:r>
      <w:r>
        <w:rPr>
          <w:rFonts w:ascii="Verdana" w:hAnsi="Verdana" w:cs="Verdana"/>
          <w:spacing w:val="-3"/>
          <w:sz w:val="22"/>
          <w:szCs w:val="22"/>
          <w:lang w:val="es-ES" w:eastAsia="es-ES"/>
        </w:rPr>
        <w:t xml:space="preserve"> dos citas al recurrente para firmar su contrato y no se</w:t>
      </w:r>
    </w:p>
    <w:p w:rsidR="00000000" w:rsidRDefault="00F21182">
      <w:pPr>
        <w:tabs>
          <w:tab w:val="left" w:pos="2304"/>
          <w:tab w:val="left" w:pos="3168"/>
          <w:tab w:val="left" w:pos="3672"/>
        </w:tabs>
        <w:kinsoku w:val="0"/>
        <w:overflowPunct w:val="0"/>
        <w:autoSpaceDE/>
        <w:autoSpaceDN/>
        <w:adjustRightInd/>
        <w:spacing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presentó a ellas.</w:t>
      </w:r>
    </w:p>
    <w:p w:rsidR="00000000" w:rsidRDefault="00F21182">
      <w:pPr>
        <w:kinsoku w:val="0"/>
        <w:overflowPunct w:val="0"/>
        <w:autoSpaceDE/>
        <w:autoSpaceDN/>
        <w:adjustRightInd/>
        <w:spacing w:before="274"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w:t>
      </w:r>
      <w:r>
        <w:rPr>
          <w:rFonts w:ascii="Verdana" w:hAnsi="Verdana" w:cs="Verdana"/>
          <w:sz w:val="22"/>
          <w:szCs w:val="22"/>
          <w:lang w:val="es-ES" w:eastAsia="es-ES"/>
        </w:rPr>
        <w:t>, según lo señalado en el Artículo 40 de esa ley, por las siguientes causales:</w:t>
      </w:r>
    </w:p>
    <w:p w:rsidR="00000000" w:rsidRDefault="00F21182">
      <w:pPr>
        <w:kinsoku w:val="0"/>
        <w:overflowPunct w:val="0"/>
        <w:autoSpaceDE/>
        <w:autoSpaceDN/>
        <w:adjustRightInd/>
        <w:spacing w:before="302" w:line="259" w:lineRule="exact"/>
        <w:ind w:left="72" w:right="72"/>
        <w:jc w:val="center"/>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 a) Incumplir las obligaciones y </w:t>
      </w:r>
      <w:r>
        <w:rPr>
          <w:rFonts w:ascii="Verdana" w:hAnsi="Verdana" w:cs="Verdana"/>
          <w:b/>
          <w:bCs/>
          <w:i/>
          <w:iCs/>
          <w:sz w:val="22"/>
          <w:szCs w:val="22"/>
          <w:lang w:val="es-ES" w:eastAsia="es-ES"/>
        </w:rPr>
        <w:t>los deberes fijados en esta</w:t>
      </w:r>
    </w:p>
    <w:p w:rsidR="00000000" w:rsidRDefault="00F21182">
      <w:pPr>
        <w:kinsoku w:val="0"/>
        <w:overflowPunct w:val="0"/>
        <w:autoSpaceDE/>
        <w:autoSpaceDN/>
        <w:adjustRightInd/>
        <w:spacing w:line="255" w:lineRule="exact"/>
        <w:ind w:left="72" w:right="72"/>
        <w:jc w:val="center"/>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ley, su reglamento, el contrato o leyes y reglamentos conexos.</w:t>
      </w:r>
    </w:p>
    <w:p w:rsidR="00000000" w:rsidRDefault="00F21182">
      <w:pPr>
        <w:numPr>
          <w:ilvl w:val="0"/>
          <w:numId w:val="3"/>
        </w:numPr>
        <w:kinsoku w:val="0"/>
        <w:overflowPunct w:val="0"/>
        <w:autoSpaceDE/>
        <w:autoSpaceDN/>
        <w:adjustRightInd/>
        <w:spacing w:line="263"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000000" w:rsidRDefault="00F21182">
      <w:pPr>
        <w:numPr>
          <w:ilvl w:val="0"/>
          <w:numId w:val="3"/>
        </w:numPr>
        <w:kinsoku w:val="0"/>
        <w:overflowPunct w:val="0"/>
        <w:autoSpaceDE/>
        <w:autoSpaceDN/>
        <w:adjustRightInd/>
        <w:spacing w:line="265"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w:t>
      </w:r>
      <w:r>
        <w:rPr>
          <w:rFonts w:ascii="Verdana" w:hAnsi="Verdana" w:cs="Verdana"/>
          <w:i/>
          <w:iCs/>
          <w:sz w:val="22"/>
          <w:szCs w:val="22"/>
          <w:lang w:val="es-ES" w:eastAsia="es-ES"/>
        </w:rPr>
        <w:t>n del Consejo.</w:t>
      </w:r>
    </w:p>
    <w:p w:rsidR="00000000" w:rsidRDefault="00F21182">
      <w:pPr>
        <w:numPr>
          <w:ilvl w:val="0"/>
          <w:numId w:val="4"/>
        </w:numPr>
        <w:kinsoku w:val="0"/>
        <w:overflowPunct w:val="0"/>
        <w:autoSpaceDE/>
        <w:autoSpaceDN/>
        <w:adjustRightInd/>
        <w:spacing w:before="18" w:line="259"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000000" w:rsidRDefault="00F21182">
      <w:pPr>
        <w:numPr>
          <w:ilvl w:val="0"/>
          <w:numId w:val="5"/>
        </w:numPr>
        <w:kinsoku w:val="0"/>
        <w:overflowPunct w:val="0"/>
        <w:autoSpaceDE/>
        <w:autoSpaceDN/>
        <w:adjustRightInd/>
        <w:spacing w:before="9"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Incurrir en las causales establecidas para la rescisión y resolución contractual dispuestas en la Ley de Contratación Administrativa</w:t>
      </w:r>
      <w:r>
        <w:rPr>
          <w:rFonts w:ascii="Verdana" w:hAnsi="Verdana" w:cs="Verdana"/>
          <w:i/>
          <w:iCs/>
          <w:sz w:val="22"/>
          <w:szCs w:val="22"/>
          <w:lang w:val="es-ES" w:eastAsia="es-ES"/>
        </w:rPr>
        <w:t xml:space="preserve"> y su reglamento.</w:t>
      </w:r>
    </w:p>
    <w:p w:rsidR="00000000" w:rsidRDefault="00F21182">
      <w:pPr>
        <w:numPr>
          <w:ilvl w:val="0"/>
          <w:numId w:val="3"/>
        </w:numPr>
        <w:kinsoku w:val="0"/>
        <w:overflowPunct w:val="0"/>
        <w:autoSpaceDE/>
        <w:autoSpaceDN/>
        <w:adjustRightInd/>
        <w:spacing w:line="264" w:lineRule="exact"/>
        <w:ind w:right="7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Cumplir el plazo.</w:t>
      </w:r>
    </w:p>
    <w:p w:rsidR="00000000" w:rsidRDefault="00F21182">
      <w:pPr>
        <w:numPr>
          <w:ilvl w:val="0"/>
          <w:numId w:val="3"/>
        </w:numPr>
        <w:kinsoku w:val="0"/>
        <w:overflowPunct w:val="0"/>
        <w:autoSpaceDE/>
        <w:autoSpaceDN/>
        <w:adjustRightInd/>
        <w:spacing w:before="29" w:after="1089"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000000" w:rsidRDefault="00F21182">
      <w:pPr>
        <w:widowControl/>
        <w:rPr>
          <w:sz w:val="24"/>
          <w:szCs w:val="24"/>
        </w:rPr>
        <w:sectPr w:rsidR="00000000">
          <w:pgSz w:w="12288" w:h="15802"/>
          <w:pgMar w:top="1480" w:right="1542" w:bottom="231" w:left="1706" w:header="720" w:footer="720" w:gutter="0"/>
          <w:cols w:space="720"/>
          <w:noEndnote/>
        </w:sectPr>
      </w:pPr>
    </w:p>
    <w:p w:rsidR="00000000" w:rsidRDefault="00F21182">
      <w:pPr>
        <w:widowControl/>
        <w:rPr>
          <w:sz w:val="24"/>
          <w:szCs w:val="24"/>
        </w:rPr>
        <w:sectPr w:rsidR="00000000">
          <w:type w:val="continuous"/>
          <w:pgSz w:w="12288" w:h="15802"/>
          <w:pgMar w:top="1480" w:right="1610" w:bottom="231" w:left="7598" w:header="720" w:footer="720" w:gutter="0"/>
          <w:cols w:space="720"/>
          <w:noEndnote/>
        </w:sectPr>
      </w:pPr>
    </w:p>
    <w:p w:rsidR="00000000" w:rsidRDefault="00F21182">
      <w:pPr>
        <w:kinsoku w:val="0"/>
        <w:overflowPunct w:val="0"/>
        <w:autoSpaceDE/>
        <w:autoSpaceDN/>
        <w:adjustRightInd/>
        <w:spacing w:before="14" w:line="260"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De lo anterior se colige, que el Consejo de Transporte Público, actuó conforme a derecho al no cumplirse por parte de </w:t>
      </w:r>
      <w:r>
        <w:rPr>
          <w:rFonts w:ascii="Verdana" w:hAnsi="Verdana" w:cs="Verdana"/>
          <w:b/>
          <w:bCs/>
          <w:sz w:val="22"/>
          <w:szCs w:val="22"/>
          <w:lang w:val="es-ES" w:eastAsia="es-ES"/>
        </w:rPr>
        <w:t>O.B.Z.</w:t>
      </w:r>
      <w:r>
        <w:rPr>
          <w:rFonts w:ascii="Verdana" w:hAnsi="Verdana" w:cs="Verdana"/>
          <w:b/>
          <w:bCs/>
          <w:sz w:val="22"/>
          <w:szCs w:val="22"/>
          <w:lang w:val="es-ES" w:eastAsia="es-ES"/>
        </w:rPr>
        <w:t xml:space="preserve">, </w:t>
      </w:r>
      <w:r>
        <w:rPr>
          <w:rFonts w:ascii="Verdana" w:hAnsi="Verdana" w:cs="Verdana"/>
          <w:sz w:val="22"/>
          <w:szCs w:val="22"/>
          <w:lang w:val="es-ES" w:eastAsia="es-ES"/>
        </w:rPr>
        <w:t>con su obligación de proceder en el tiempo determinado con la formalización de la concesión otorgada.</w:t>
      </w:r>
    </w:p>
    <w:p w:rsidR="00000000" w:rsidRDefault="00F21182">
      <w:pPr>
        <w:kinsoku w:val="0"/>
        <w:overflowPunct w:val="0"/>
        <w:autoSpaceDE/>
        <w:autoSpaceDN/>
        <w:adjustRightInd/>
        <w:spacing w:before="547" w:line="260"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F21182">
      <w:pPr>
        <w:numPr>
          <w:ilvl w:val="0"/>
          <w:numId w:val="6"/>
        </w:numPr>
        <w:kinsoku w:val="0"/>
        <w:overflowPunct w:val="0"/>
        <w:autoSpaceDE/>
        <w:autoSpaceDN/>
        <w:adjustRightInd/>
        <w:spacing w:before="537"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declara sin lugar el </w:t>
      </w: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O.B.Z.</w:t>
      </w:r>
      <w:r>
        <w:rPr>
          <w:rFonts w:ascii="Verdana" w:hAnsi="Verdana" w:cs="Verdana"/>
          <w:b/>
          <w:bCs/>
          <w:sz w:val="22"/>
          <w:szCs w:val="22"/>
          <w:lang w:val="es-ES" w:eastAsia="es-ES"/>
        </w:rPr>
        <w:t>, cédula de identidad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dictado por la Junta Directiva del Consejo de Transporte Público.</w:t>
      </w:r>
    </w:p>
    <w:p w:rsidR="00000000" w:rsidRPr="00F21182" w:rsidRDefault="00F21182" w:rsidP="00F21182">
      <w:pPr>
        <w:numPr>
          <w:ilvl w:val="0"/>
          <w:numId w:val="7"/>
        </w:numPr>
        <w:kinsoku w:val="0"/>
        <w:overflowPunct w:val="0"/>
        <w:autoSpaceDE/>
        <w:autoSpaceDN/>
        <w:adjustRightInd/>
        <w:spacing w:before="258" w:after="854" w:line="293" w:lineRule="exact"/>
        <w:ind w:right="144"/>
        <w:jc w:val="both"/>
        <w:textAlignment w:val="baseline"/>
        <w:rPr>
          <w:sz w:val="24"/>
          <w:szCs w:val="24"/>
        </w:rPr>
      </w:pPr>
      <w:r>
        <w:rPr>
          <w:rFonts w:ascii="Verdana" w:hAnsi="Verdana" w:cs="Verdana"/>
          <w:sz w:val="22"/>
          <w:szCs w:val="22"/>
          <w:lang w:val="es-ES" w:eastAsia="es-ES"/>
        </w:rPr>
        <w:t xml:space="preserve">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w:t>
      </w:r>
      <w:r>
        <w:rPr>
          <w:rFonts w:ascii="Verdana" w:hAnsi="Verdana" w:cs="Verdana"/>
          <w:b/>
          <w:bCs/>
          <w:sz w:val="22"/>
          <w:szCs w:val="22"/>
          <w:lang w:val="es-ES" w:eastAsia="es-ES"/>
        </w:rPr>
        <w:t>SE. –</w:t>
      </w:r>
    </w:p>
    <w:p w:rsidR="00F21182" w:rsidRPr="00CF40A0" w:rsidRDefault="00F21182" w:rsidP="00F21182">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21182" w:rsidRDefault="00F21182" w:rsidP="00F21182">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21182" w:rsidRPr="00F21182" w:rsidRDefault="00F21182" w:rsidP="00F21182">
      <w:pPr>
        <w:kinsoku w:val="0"/>
        <w:overflowPunct w:val="0"/>
        <w:autoSpaceDE/>
        <w:autoSpaceDN/>
        <w:adjustRightInd/>
        <w:spacing w:before="258" w:after="854" w:line="293" w:lineRule="exact"/>
        <w:ind w:left="72" w:right="144"/>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w:t>
      </w:r>
      <w:bookmarkStart w:id="0" w:name="_GoBack"/>
      <w:bookmarkEnd w:id="0"/>
      <w:r>
        <w:rPr>
          <w:rStyle w:val="CharacterStyle1"/>
          <w:b/>
          <w:i/>
          <w:iCs/>
          <w:spacing w:val="5"/>
          <w:sz w:val="26"/>
          <w:szCs w:val="26"/>
        </w:rPr>
        <w:t>EZ</w:t>
      </w:r>
    </w:p>
    <w:sectPr w:rsidR="00F21182" w:rsidRPr="00F21182" w:rsidSect="00F21182">
      <w:pgSz w:w="12288" w:h="15802"/>
      <w:pgMar w:top="1360" w:right="1545" w:bottom="346" w:left="17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D1D"/>
    <w:multiLevelType w:val="singleLevel"/>
    <w:tmpl w:val="4A2CCB0C"/>
    <w:lvl w:ilvl="0">
      <w:start w:val="1"/>
      <w:numFmt w:val="upperRoman"/>
      <w:lvlText w:val="%1.-"/>
      <w:lvlJc w:val="left"/>
      <w:pPr>
        <w:tabs>
          <w:tab w:val="num" w:pos="504"/>
        </w:tabs>
        <w:ind w:left="72"/>
      </w:pPr>
      <w:rPr>
        <w:rFonts w:ascii="Verdana" w:hAnsi="Verdana" w:cs="Verdana"/>
        <w:b/>
        <w:snapToGrid/>
        <w:sz w:val="22"/>
        <w:szCs w:val="22"/>
      </w:rPr>
    </w:lvl>
  </w:abstractNum>
  <w:abstractNum w:abstractNumId="1" w15:restartNumberingAfterBreak="0">
    <w:nsid w:val="0104BC7B"/>
    <w:multiLevelType w:val="singleLevel"/>
    <w:tmpl w:val="155862FF"/>
    <w:lvl w:ilvl="0">
      <w:start w:val="1"/>
      <w:numFmt w:val="decimal"/>
      <w:lvlText w:val="%1.-"/>
      <w:lvlJc w:val="left"/>
      <w:pPr>
        <w:tabs>
          <w:tab w:val="num" w:pos="504"/>
        </w:tabs>
        <w:ind w:left="72"/>
      </w:pPr>
      <w:rPr>
        <w:rFonts w:ascii="Verdana" w:hAnsi="Verdana" w:cs="Verdana"/>
        <w:b/>
        <w:bCs/>
        <w:snapToGrid/>
        <w:sz w:val="22"/>
        <w:szCs w:val="22"/>
      </w:rPr>
    </w:lvl>
  </w:abstractNum>
  <w:abstractNum w:abstractNumId="2" w15:restartNumberingAfterBreak="0">
    <w:nsid w:val="02E9B4E6"/>
    <w:multiLevelType w:val="singleLevel"/>
    <w:tmpl w:val="2A76875F"/>
    <w:lvl w:ilvl="0">
      <w:start w:val="1"/>
      <w:numFmt w:val="upperLetter"/>
      <w:lvlText w:val="%1)."/>
      <w:lvlJc w:val="left"/>
      <w:pPr>
        <w:tabs>
          <w:tab w:val="num" w:pos="576"/>
        </w:tabs>
        <w:ind w:left="72"/>
      </w:pPr>
      <w:rPr>
        <w:rFonts w:ascii="Verdana" w:hAnsi="Verdana" w:cs="Verdana"/>
        <w:b/>
        <w:bCs/>
        <w:snapToGrid/>
        <w:sz w:val="22"/>
        <w:szCs w:val="22"/>
      </w:rPr>
    </w:lvl>
  </w:abstractNum>
  <w:abstractNum w:abstractNumId="3" w15:restartNumberingAfterBreak="0">
    <w:nsid w:val="050C4134"/>
    <w:multiLevelType w:val="singleLevel"/>
    <w:tmpl w:val="17CD4AD0"/>
    <w:lvl w:ilvl="0">
      <w:start w:val="2"/>
      <w:numFmt w:val="lowerLetter"/>
      <w:lvlText w:val="%1)"/>
      <w:lvlJc w:val="left"/>
      <w:pPr>
        <w:tabs>
          <w:tab w:val="num" w:pos="1368"/>
        </w:tabs>
        <w:ind w:left="720" w:firstLine="360"/>
      </w:pPr>
      <w:rPr>
        <w:rFonts w:ascii="Verdana" w:hAnsi="Verdana" w:cs="Verdana"/>
        <w:i/>
        <w:iCs/>
        <w:snapToGrid/>
        <w:sz w:val="22"/>
        <w:szCs w:val="22"/>
      </w:rPr>
    </w:lvl>
  </w:abstractNum>
  <w:num w:numId="1">
    <w:abstractNumId w:val="1"/>
  </w:num>
  <w:num w:numId="2">
    <w:abstractNumId w:val="2"/>
  </w:num>
  <w:num w:numId="3">
    <w:abstractNumId w:val="3"/>
  </w:num>
  <w:num w:numId="4">
    <w:abstractNumId w:val="3"/>
    <w:lvlOverride w:ilvl="0">
      <w:lvl w:ilvl="0">
        <w:numFmt w:val="lowerLetter"/>
        <w:lvlText w:val="%1)"/>
        <w:lvlJc w:val="left"/>
        <w:pPr>
          <w:tabs>
            <w:tab w:val="num" w:pos="1368"/>
          </w:tabs>
          <w:ind w:left="720" w:firstLine="360"/>
        </w:pPr>
        <w:rPr>
          <w:rFonts w:ascii="Verdana" w:hAnsi="Verdana" w:cs="Verdana"/>
          <w:b/>
          <w:bCs/>
          <w:i/>
          <w:iCs/>
          <w:snapToGrid/>
          <w:sz w:val="22"/>
          <w:szCs w:val="22"/>
        </w:rPr>
      </w:lvl>
    </w:lvlOverride>
  </w:num>
  <w:num w:numId="5">
    <w:abstractNumId w:val="3"/>
    <w:lvlOverride w:ilvl="0">
      <w:lvl w:ilvl="0">
        <w:numFmt w:val="lowerLetter"/>
        <w:lvlText w:val="%1)"/>
        <w:lvlJc w:val="left"/>
        <w:pPr>
          <w:tabs>
            <w:tab w:val="num" w:pos="1512"/>
          </w:tabs>
          <w:ind w:left="720" w:firstLine="360"/>
        </w:pPr>
        <w:rPr>
          <w:rFonts w:ascii="Verdana" w:hAnsi="Verdana" w:cs="Verdana"/>
          <w:i/>
          <w:iCs/>
          <w:snapToGrid/>
          <w:sz w:val="22"/>
          <w:szCs w:val="22"/>
        </w:rPr>
      </w:lvl>
    </w:lvlOverride>
  </w:num>
  <w:num w:numId="6">
    <w:abstractNumId w:val="0"/>
  </w:num>
  <w:num w:numId="7">
    <w:abstractNumId w:val="0"/>
    <w:lvlOverride w:ilvl="0">
      <w:lvl w:ilvl="0">
        <w:numFmt w:val="upperRoman"/>
        <w:lvlText w:val="%1.-"/>
        <w:lvlJc w:val="left"/>
        <w:pPr>
          <w:tabs>
            <w:tab w:val="num" w:pos="720"/>
          </w:tabs>
          <w:ind w:left="72"/>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82"/>
    <w:rsid w:val="00F211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751E"/>
  <w14:defaultImageDpi w14:val="0"/>
  <w15:docId w15:val="{C048BBBC-3633-408C-81F8-9A763CE5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182"/>
    <w:rPr>
      <w:color w:val="0563C1" w:themeColor="hyperlink"/>
      <w:u w:val="single"/>
    </w:rPr>
  </w:style>
  <w:style w:type="character" w:styleId="Mencionar">
    <w:name w:val="Mention"/>
    <w:basedOn w:val="Fuentedeprrafopredeter"/>
    <w:uiPriority w:val="99"/>
    <w:semiHidden/>
    <w:unhideWhenUsed/>
    <w:rsid w:val="00F21182"/>
    <w:rPr>
      <w:color w:val="2B579A"/>
      <w:shd w:val="clear" w:color="auto" w:fill="E6E6E6"/>
    </w:rPr>
  </w:style>
  <w:style w:type="paragraph" w:customStyle="1" w:styleId="Style1">
    <w:name w:val="Style 1"/>
    <w:basedOn w:val="Normal"/>
    <w:uiPriority w:val="99"/>
    <w:rsid w:val="00F21182"/>
    <w:rPr>
      <w:lang w:val="es-CR"/>
    </w:rPr>
  </w:style>
  <w:style w:type="character" w:customStyle="1" w:styleId="CharacterStyle1">
    <w:name w:val="Character Style 1"/>
    <w:uiPriority w:val="99"/>
    <w:rsid w:val="00F211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lafuente.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hotmail.com" TargetMode="External"/><Relationship Id="rId12" Type="http://schemas.openxmlformats.org/officeDocument/2006/relationships/hyperlink" Target="mailto:xxxxxxxxx@lafuente.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fuente.cr" TargetMode="External"/><Relationship Id="rId11" Type="http://schemas.openxmlformats.org/officeDocument/2006/relationships/hyperlink" Target="mailto:xxxxxxxxxx@lafuente.cr" TargetMode="External"/><Relationship Id="rId5" Type="http://schemas.openxmlformats.org/officeDocument/2006/relationships/hyperlink" Target="mailto:xxxxxxxxxxxxxxxx@hotmail.com" TargetMode="External"/><Relationship Id="rId10" Type="http://schemas.openxmlformats.org/officeDocument/2006/relationships/hyperlink" Target="mailto:xxxxxxxx@hotmail.com" TargetMode="External"/><Relationship Id="rId4" Type="http://schemas.openxmlformats.org/officeDocument/2006/relationships/webSettings" Target="webSettings.xml"/><Relationship Id="rId9" Type="http://schemas.openxmlformats.org/officeDocument/2006/relationships/hyperlink" Target="mailto:xxxxxxxxx@lafuente.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3003</Words>
  <Characters>16518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2017-03-28T18:35:00Z</dcterms:created>
  <dcterms:modified xsi:type="dcterms:W3CDTF">2017-03-28T18:35:00Z</dcterms:modified>
</cp:coreProperties>
</file>